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C65" w:rsidRPr="009E51FC" w:rsidRDefault="006A5C65" w:rsidP="00E82CBD">
      <w:pPr>
        <w:tabs>
          <w:tab w:val="left" w:pos="2930"/>
        </w:tabs>
      </w:pPr>
      <w:r>
        <w:rPr>
          <w:noProof/>
        </w:rPr>
        <w:drawing>
          <wp:anchor distT="0" distB="0" distL="114300" distR="114300" simplePos="0" relativeHeight="251658240" behindDoc="1" locked="0" layoutInCell="1" allowOverlap="1" wp14:anchorId="116F936F" wp14:editId="0077BD7B">
            <wp:simplePos x="0" y="0"/>
            <wp:positionH relativeFrom="column">
              <wp:posOffset>4762500</wp:posOffset>
            </wp:positionH>
            <wp:positionV relativeFrom="paragraph">
              <wp:posOffset>-38100</wp:posOffset>
            </wp:positionV>
            <wp:extent cx="838200" cy="1114425"/>
            <wp:effectExtent l="0" t="0" r="0" b="9525"/>
            <wp:wrapTight wrapText="bothSides">
              <wp:wrapPolygon edited="0">
                <wp:start x="0" y="0"/>
                <wp:lineTo x="0" y="21415"/>
                <wp:lineTo x="21109" y="21415"/>
                <wp:lineTo x="21109" y="0"/>
                <wp:lineTo x="0" y="0"/>
              </wp:wrapPolygon>
            </wp:wrapTight>
            <wp:docPr id="1" name="Picture 1" title="Oxford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144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CBD">
        <w:tab/>
      </w:r>
    </w:p>
    <w:tbl>
      <w:tblPr>
        <w:tblW w:w="0" w:type="auto"/>
        <w:tblInd w:w="108" w:type="dxa"/>
        <w:tblLayout w:type="fixed"/>
        <w:tblLook w:val="04A0" w:firstRow="1" w:lastRow="0" w:firstColumn="1" w:lastColumn="0" w:noHBand="0" w:noVBand="1"/>
      </w:tblPr>
      <w:tblGrid>
        <w:gridCol w:w="2438"/>
        <w:gridCol w:w="6406"/>
      </w:tblGrid>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To:</w:t>
            </w:r>
          </w:p>
        </w:tc>
        <w:tc>
          <w:tcPr>
            <w:tcW w:w="6406" w:type="dxa"/>
            <w:shd w:val="clear" w:color="auto" w:fill="auto"/>
          </w:tcPr>
          <w:p w:rsidR="00A13BC5" w:rsidRPr="00F95BC9" w:rsidRDefault="009E5C82" w:rsidP="00972BCF">
            <w:pPr>
              <w:rPr>
                <w:rStyle w:val="Firstpagetablebold"/>
              </w:rPr>
            </w:pPr>
            <w:r>
              <w:rPr>
                <w:rStyle w:val="Firstpagetablebold"/>
              </w:rPr>
              <w:t>Cabinet</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Date:</w:t>
            </w:r>
          </w:p>
        </w:tc>
        <w:tc>
          <w:tcPr>
            <w:tcW w:w="6406" w:type="dxa"/>
            <w:shd w:val="clear" w:color="auto" w:fill="auto"/>
          </w:tcPr>
          <w:p w:rsidR="00A13BC5" w:rsidRPr="001356F1" w:rsidRDefault="009C2B69" w:rsidP="00B12594">
            <w:pPr>
              <w:rPr>
                <w:b/>
              </w:rPr>
            </w:pPr>
            <w:r>
              <w:rPr>
                <w:b/>
              </w:rPr>
              <w:t>15 Decem</w:t>
            </w:r>
            <w:r w:rsidR="00B12594">
              <w:rPr>
                <w:b/>
              </w:rPr>
              <w:t>ber</w:t>
            </w:r>
            <w:r w:rsidR="002A00A5">
              <w:rPr>
                <w:b/>
              </w:rPr>
              <w:t xml:space="preserve"> 2021</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Report of:</w:t>
            </w:r>
          </w:p>
        </w:tc>
        <w:tc>
          <w:tcPr>
            <w:tcW w:w="6406" w:type="dxa"/>
            <w:shd w:val="clear" w:color="auto" w:fill="auto"/>
          </w:tcPr>
          <w:p w:rsidR="00A13BC5" w:rsidRPr="001356F1" w:rsidRDefault="009C2B69" w:rsidP="00972BCF">
            <w:pPr>
              <w:rPr>
                <w:rStyle w:val="Firstpagetablebold"/>
              </w:rPr>
            </w:pPr>
            <w:r>
              <w:rPr>
                <w:rStyle w:val="Firstpagetablebold"/>
              </w:rPr>
              <w:t>Finance and Performance</w:t>
            </w:r>
            <w:r w:rsidR="00F218D9">
              <w:rPr>
                <w:rStyle w:val="Firstpagetablebold"/>
              </w:rPr>
              <w:t xml:space="preserve"> Panel</w:t>
            </w:r>
          </w:p>
        </w:tc>
      </w:tr>
      <w:tr w:rsidR="00A13BC5" w:rsidRPr="00975B07" w:rsidTr="00972BCF">
        <w:tc>
          <w:tcPr>
            <w:tcW w:w="2438" w:type="dxa"/>
            <w:shd w:val="clear" w:color="auto" w:fill="auto"/>
          </w:tcPr>
          <w:p w:rsidR="00A13BC5" w:rsidRPr="00975B07" w:rsidRDefault="00A13BC5" w:rsidP="00972BCF">
            <w:pPr>
              <w:rPr>
                <w:rStyle w:val="Firstpagetablebold"/>
              </w:rPr>
            </w:pPr>
            <w:r w:rsidRPr="00975B07">
              <w:rPr>
                <w:rStyle w:val="Firstpagetablebold"/>
              </w:rPr>
              <w:t xml:space="preserve">Title of Report: </w:t>
            </w:r>
          </w:p>
        </w:tc>
        <w:tc>
          <w:tcPr>
            <w:tcW w:w="6406" w:type="dxa"/>
            <w:shd w:val="clear" w:color="auto" w:fill="auto"/>
          </w:tcPr>
          <w:p w:rsidR="00A13BC5" w:rsidRPr="002C751F" w:rsidRDefault="009C2B69" w:rsidP="00972BCF">
            <w:pPr>
              <w:rPr>
                <w:rStyle w:val="Firstpagetablebold"/>
                <w:b w:val="0"/>
              </w:rPr>
            </w:pPr>
            <w:r>
              <w:rPr>
                <w:b/>
              </w:rPr>
              <w:t>Asset Management Strategy</w:t>
            </w:r>
          </w:p>
        </w:tc>
      </w:tr>
    </w:tbl>
    <w:p w:rsidR="00A13BC5" w:rsidRDefault="00A13BC5" w:rsidP="00A13BC5"/>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438"/>
        <w:gridCol w:w="6407"/>
      </w:tblGrid>
      <w:tr w:rsidR="00A13BC5" w:rsidTr="00972BCF">
        <w:tc>
          <w:tcPr>
            <w:tcW w:w="8845" w:type="dxa"/>
            <w:gridSpan w:val="2"/>
            <w:tcBorders>
              <w:bottom w:val="single" w:sz="8" w:space="0" w:color="000000"/>
            </w:tcBorders>
            <w:hideMark/>
          </w:tcPr>
          <w:p w:rsidR="00A13BC5" w:rsidRDefault="00A13BC5" w:rsidP="00972BCF">
            <w:pPr>
              <w:jc w:val="center"/>
              <w:rPr>
                <w:rStyle w:val="Firstpagetablebold"/>
              </w:rPr>
            </w:pPr>
            <w:r>
              <w:rPr>
                <w:rStyle w:val="Firstpagetablebold"/>
              </w:rPr>
              <w:t>Summary and recommendations</w:t>
            </w:r>
          </w:p>
        </w:tc>
      </w:tr>
      <w:tr w:rsidR="00A13BC5" w:rsidTr="00972BCF">
        <w:tc>
          <w:tcPr>
            <w:tcW w:w="2438" w:type="dxa"/>
            <w:tcBorders>
              <w:top w:val="single" w:sz="8" w:space="0" w:color="000000"/>
              <w:left w:val="single" w:sz="8" w:space="0" w:color="000000"/>
              <w:bottom w:val="nil"/>
              <w:right w:val="nil"/>
            </w:tcBorders>
            <w:hideMark/>
          </w:tcPr>
          <w:p w:rsidR="00A13BC5" w:rsidRDefault="00A13BC5" w:rsidP="00972BCF">
            <w:pPr>
              <w:rPr>
                <w:rStyle w:val="Firstpagetablebold"/>
              </w:rPr>
            </w:pPr>
            <w:r>
              <w:rPr>
                <w:rStyle w:val="Firstpagetablebold"/>
              </w:rPr>
              <w:t>Purpose of report:</w:t>
            </w:r>
          </w:p>
        </w:tc>
        <w:tc>
          <w:tcPr>
            <w:tcW w:w="6407" w:type="dxa"/>
            <w:tcBorders>
              <w:top w:val="single" w:sz="8" w:space="0" w:color="000000"/>
              <w:left w:val="nil"/>
              <w:bottom w:val="nil"/>
              <w:right w:val="single" w:sz="8" w:space="0" w:color="000000"/>
            </w:tcBorders>
            <w:hideMark/>
          </w:tcPr>
          <w:p w:rsidR="00A13BC5" w:rsidRPr="001356F1" w:rsidRDefault="00A13BC5" w:rsidP="00B12594">
            <w:r>
              <w:t xml:space="preserve">To present </w:t>
            </w:r>
            <w:r w:rsidR="003B3F69">
              <w:t>Finance and Performance</w:t>
            </w:r>
            <w:r w:rsidR="00F218D9">
              <w:t xml:space="preserve"> Panel</w:t>
            </w:r>
            <w:r>
              <w:t xml:space="preserve"> recommendations concerning </w:t>
            </w:r>
            <w:r w:rsidR="00845DF4">
              <w:t>the</w:t>
            </w:r>
            <w:r w:rsidR="003B3F69">
              <w:t xml:space="preserve"> Cabinet’s Asset Management Strategy report</w:t>
            </w:r>
          </w:p>
        </w:tc>
      </w:tr>
      <w:tr w:rsidR="00A13BC5" w:rsidTr="00972BCF">
        <w:trPr>
          <w:trHeight w:val="1157"/>
        </w:trPr>
        <w:tc>
          <w:tcPr>
            <w:tcW w:w="2438" w:type="dxa"/>
            <w:tcBorders>
              <w:top w:val="nil"/>
              <w:left w:val="single" w:sz="8" w:space="0" w:color="000000"/>
              <w:bottom w:val="nil"/>
              <w:right w:val="nil"/>
            </w:tcBorders>
            <w:hideMark/>
          </w:tcPr>
          <w:p w:rsidR="00A13BC5" w:rsidRDefault="00A13BC5" w:rsidP="00972BCF">
            <w:pPr>
              <w:rPr>
                <w:rStyle w:val="Firstpagetablebold"/>
              </w:rPr>
            </w:pPr>
            <w:r>
              <w:rPr>
                <w:rStyle w:val="Firstpagetablebold"/>
              </w:rPr>
              <w:t>Key decision:</w:t>
            </w:r>
          </w:p>
          <w:p w:rsidR="00A13BC5" w:rsidRDefault="00A13BC5" w:rsidP="00972BCF">
            <w:pPr>
              <w:rPr>
                <w:rStyle w:val="Firstpagetablebold"/>
              </w:rPr>
            </w:pPr>
            <w:r>
              <w:rPr>
                <w:rStyle w:val="Firstpagetablebold"/>
              </w:rPr>
              <w:t>Scrutiny Lead Member:</w:t>
            </w:r>
          </w:p>
        </w:tc>
        <w:tc>
          <w:tcPr>
            <w:tcW w:w="6407" w:type="dxa"/>
            <w:tcBorders>
              <w:top w:val="nil"/>
              <w:left w:val="nil"/>
              <w:bottom w:val="nil"/>
              <w:right w:val="single" w:sz="8" w:space="0" w:color="000000"/>
            </w:tcBorders>
            <w:hideMark/>
          </w:tcPr>
          <w:p w:rsidR="00A13BC5" w:rsidRDefault="003B3F69" w:rsidP="00972BCF">
            <w:r>
              <w:t>Yes</w:t>
            </w:r>
          </w:p>
          <w:p w:rsidR="00A13BC5" w:rsidRPr="001356F1" w:rsidRDefault="00A13BC5" w:rsidP="009F3FC4">
            <w:r>
              <w:t xml:space="preserve">Councillor </w:t>
            </w:r>
            <w:r w:rsidR="009C2B69">
              <w:t>James Fry</w:t>
            </w:r>
            <w:r w:rsidR="009F3FC4">
              <w:t>,</w:t>
            </w:r>
            <w:r w:rsidR="00B10055">
              <w:t xml:space="preserve"> Chair of the </w:t>
            </w:r>
            <w:r w:rsidR="009C2B69">
              <w:t>Finance and Performance</w:t>
            </w:r>
            <w:r w:rsidR="00F218D9">
              <w:t xml:space="preserve"> Panel</w:t>
            </w:r>
          </w:p>
        </w:tc>
      </w:tr>
      <w:tr w:rsidR="00A13BC5" w:rsidTr="00972BCF">
        <w:tc>
          <w:tcPr>
            <w:tcW w:w="2438" w:type="dxa"/>
            <w:tcBorders>
              <w:top w:val="nil"/>
              <w:left w:val="single" w:sz="8" w:space="0" w:color="000000"/>
              <w:bottom w:val="nil"/>
              <w:right w:val="nil"/>
            </w:tcBorders>
            <w:hideMark/>
          </w:tcPr>
          <w:p w:rsidR="00A13BC5" w:rsidRPr="00EF2280" w:rsidRDefault="009F3FC4" w:rsidP="00972BCF">
            <w:pPr>
              <w:rPr>
                <w:rStyle w:val="Firstpagetablebold"/>
              </w:rPr>
            </w:pPr>
            <w:r>
              <w:rPr>
                <w:rStyle w:val="Firstpagetablebold"/>
              </w:rPr>
              <w:t>Cabinet</w:t>
            </w:r>
            <w:r w:rsidR="00A13BC5" w:rsidRPr="00EF2280">
              <w:rPr>
                <w:rStyle w:val="Firstpagetablebold"/>
              </w:rPr>
              <w:t xml:space="preserve"> Member:</w:t>
            </w:r>
          </w:p>
        </w:tc>
        <w:tc>
          <w:tcPr>
            <w:tcW w:w="6407" w:type="dxa"/>
            <w:tcBorders>
              <w:top w:val="nil"/>
              <w:left w:val="nil"/>
              <w:bottom w:val="nil"/>
              <w:right w:val="single" w:sz="8" w:space="0" w:color="000000"/>
            </w:tcBorders>
            <w:hideMark/>
          </w:tcPr>
          <w:p w:rsidR="00A13BC5" w:rsidRDefault="00FD6BEA" w:rsidP="00A32BC3">
            <w:pPr>
              <w:spacing w:after="0"/>
              <w:rPr>
                <w:color w:val="auto"/>
              </w:rPr>
            </w:pPr>
            <w:r>
              <w:rPr>
                <w:color w:val="auto"/>
              </w:rPr>
              <w:t xml:space="preserve">Councillor </w:t>
            </w:r>
            <w:r w:rsidR="009C2B69">
              <w:rPr>
                <w:color w:val="auto"/>
              </w:rPr>
              <w:t>Ed Turner</w:t>
            </w:r>
            <w:r w:rsidR="00B87A40">
              <w:rPr>
                <w:color w:val="auto"/>
              </w:rPr>
              <w:t xml:space="preserve">, </w:t>
            </w:r>
            <w:r w:rsidR="009C2B69">
              <w:rPr>
                <w:color w:val="auto"/>
              </w:rPr>
              <w:t>Deputy Leader and Cabinet Member for Finance and Asset Management</w:t>
            </w:r>
          </w:p>
          <w:p w:rsidR="00FD6BEA" w:rsidRPr="00D67D83" w:rsidRDefault="00FD6BEA" w:rsidP="00A32BC3">
            <w:pPr>
              <w:spacing w:after="0"/>
              <w:rPr>
                <w:color w:val="auto"/>
              </w:rPr>
            </w:pPr>
          </w:p>
        </w:tc>
      </w:tr>
      <w:tr w:rsidR="00A13BC5" w:rsidTr="00972BCF">
        <w:tc>
          <w:tcPr>
            <w:tcW w:w="2438" w:type="dxa"/>
            <w:tcBorders>
              <w:top w:val="nil"/>
              <w:left w:val="single" w:sz="8" w:space="0" w:color="000000"/>
              <w:bottom w:val="nil"/>
              <w:right w:val="nil"/>
            </w:tcBorders>
          </w:tcPr>
          <w:p w:rsidR="00A13BC5" w:rsidRDefault="00A13BC5" w:rsidP="00972BCF">
            <w:pPr>
              <w:rPr>
                <w:rStyle w:val="Firstpagetablebold"/>
              </w:rPr>
            </w:pPr>
            <w:r>
              <w:rPr>
                <w:rStyle w:val="Firstpagetablebold"/>
              </w:rPr>
              <w:t>Corporate Priority:</w:t>
            </w:r>
          </w:p>
        </w:tc>
        <w:tc>
          <w:tcPr>
            <w:tcW w:w="6407" w:type="dxa"/>
            <w:tcBorders>
              <w:top w:val="nil"/>
              <w:left w:val="nil"/>
              <w:bottom w:val="nil"/>
              <w:right w:val="single" w:sz="8" w:space="0" w:color="000000"/>
            </w:tcBorders>
          </w:tcPr>
          <w:p w:rsidR="00A13BC5" w:rsidRPr="00D67D83" w:rsidRDefault="009C2B69" w:rsidP="00B10055">
            <w:pPr>
              <w:rPr>
                <w:color w:val="auto"/>
              </w:rPr>
            </w:pPr>
            <w:r>
              <w:rPr>
                <w:color w:val="auto"/>
              </w:rPr>
              <w:t>All</w:t>
            </w:r>
          </w:p>
        </w:tc>
      </w:tr>
      <w:tr w:rsidR="00A13BC5" w:rsidTr="00972BCF">
        <w:tc>
          <w:tcPr>
            <w:tcW w:w="2438" w:type="dxa"/>
            <w:tcBorders>
              <w:top w:val="nil"/>
              <w:left w:val="single" w:sz="8" w:space="0" w:color="000000"/>
              <w:bottom w:val="nil"/>
              <w:right w:val="nil"/>
            </w:tcBorders>
            <w:hideMark/>
          </w:tcPr>
          <w:p w:rsidR="00A13BC5" w:rsidRDefault="00A13BC5" w:rsidP="00972BCF">
            <w:pPr>
              <w:rPr>
                <w:rStyle w:val="Firstpagetablebold"/>
              </w:rPr>
            </w:pPr>
            <w:r>
              <w:rPr>
                <w:rStyle w:val="Firstpagetablebold"/>
              </w:rPr>
              <w:t>Policy Framework:</w:t>
            </w:r>
          </w:p>
        </w:tc>
        <w:tc>
          <w:tcPr>
            <w:tcW w:w="6407" w:type="dxa"/>
            <w:tcBorders>
              <w:top w:val="nil"/>
              <w:left w:val="nil"/>
              <w:bottom w:val="nil"/>
              <w:right w:val="single" w:sz="8" w:space="0" w:color="000000"/>
            </w:tcBorders>
            <w:hideMark/>
          </w:tcPr>
          <w:p w:rsidR="00A13BC5" w:rsidRPr="001356F1" w:rsidRDefault="009C2B69" w:rsidP="00972BCF">
            <w:r>
              <w:t>Corporate Strategy 2020-24</w:t>
            </w:r>
          </w:p>
        </w:tc>
      </w:tr>
      <w:tr w:rsidR="00A13BC5" w:rsidRPr="00975B07" w:rsidTr="00972BCF">
        <w:trPr>
          <w:trHeight w:val="413"/>
        </w:trPr>
        <w:tc>
          <w:tcPr>
            <w:tcW w:w="8845" w:type="dxa"/>
            <w:gridSpan w:val="2"/>
            <w:tcBorders>
              <w:bottom w:val="single" w:sz="8" w:space="0" w:color="000000"/>
            </w:tcBorders>
          </w:tcPr>
          <w:p w:rsidR="00A13BC5" w:rsidRPr="00975B07" w:rsidRDefault="00A13BC5" w:rsidP="00972BCF">
            <w:r>
              <w:rPr>
                <w:rStyle w:val="Firstpagetablebold"/>
              </w:rPr>
              <w:t xml:space="preserve">Recommendation: That the </w:t>
            </w:r>
            <w:r w:rsidR="009E5C82">
              <w:rPr>
                <w:rStyle w:val="Firstpagetablebold"/>
              </w:rPr>
              <w:t>Cabinet</w:t>
            </w:r>
            <w:r>
              <w:rPr>
                <w:rStyle w:val="Firstpagetablebold"/>
              </w:rPr>
              <w:t xml:space="preserve"> states whether it agrees or disagrees with the recommendation in the body of this report.</w:t>
            </w:r>
          </w:p>
        </w:tc>
      </w:tr>
    </w:tbl>
    <w:p w:rsidR="0088675D" w:rsidRPr="009E51FC" w:rsidRDefault="0088675D" w:rsidP="00A13BC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A13BC5" w:rsidRPr="00975B07" w:rsidTr="00972BCF">
        <w:tc>
          <w:tcPr>
            <w:tcW w:w="8844" w:type="dxa"/>
            <w:tcBorders>
              <w:top w:val="single" w:sz="8" w:space="0" w:color="000000"/>
              <w:left w:val="single" w:sz="8" w:space="0" w:color="000000"/>
              <w:bottom w:val="single" w:sz="8" w:space="0" w:color="000000"/>
              <w:right w:val="single" w:sz="8" w:space="0" w:color="000000"/>
            </w:tcBorders>
            <w:shd w:val="clear" w:color="auto" w:fill="auto"/>
          </w:tcPr>
          <w:p w:rsidR="00A13BC5" w:rsidRPr="002C7241" w:rsidRDefault="00A13BC5" w:rsidP="00972BCF">
            <w:pPr>
              <w:jc w:val="center"/>
              <w:rPr>
                <w:color w:val="auto"/>
              </w:rPr>
            </w:pPr>
            <w:r w:rsidRPr="002C7241">
              <w:rPr>
                <w:rStyle w:val="Firstpagetablebold"/>
                <w:color w:val="auto"/>
              </w:rPr>
              <w:t>Appendices</w:t>
            </w:r>
          </w:p>
        </w:tc>
      </w:tr>
      <w:tr w:rsidR="00A13BC5" w:rsidRPr="00975B07" w:rsidTr="00972BCF">
        <w:tc>
          <w:tcPr>
            <w:tcW w:w="8844" w:type="dxa"/>
            <w:tcBorders>
              <w:top w:val="nil"/>
              <w:left w:val="single" w:sz="8" w:space="0" w:color="000000"/>
              <w:bottom w:val="single" w:sz="8" w:space="0" w:color="000000"/>
              <w:right w:val="single" w:sz="8" w:space="0" w:color="000000"/>
            </w:tcBorders>
            <w:shd w:val="clear" w:color="auto" w:fill="auto"/>
          </w:tcPr>
          <w:p w:rsidR="00A13BC5" w:rsidRPr="002C7241" w:rsidRDefault="009F3FC4" w:rsidP="00972BCF">
            <w:pPr>
              <w:ind w:right="-6317"/>
              <w:rPr>
                <w:color w:val="auto"/>
              </w:rPr>
            </w:pPr>
            <w:r>
              <w:rPr>
                <w:color w:val="auto"/>
              </w:rPr>
              <w:t>None</w:t>
            </w:r>
          </w:p>
        </w:tc>
      </w:tr>
    </w:tbl>
    <w:p w:rsidR="0088675D" w:rsidRDefault="0088675D" w:rsidP="0088675D"/>
    <w:p w:rsidR="00A13BC5" w:rsidRPr="006525A6" w:rsidRDefault="00A13BC5" w:rsidP="006525A6">
      <w:pPr>
        <w:pStyle w:val="Heading1"/>
      </w:pPr>
      <w:r w:rsidRPr="006525A6">
        <w:t>Introduction and overview</w:t>
      </w:r>
    </w:p>
    <w:p w:rsidR="00B12594" w:rsidRDefault="00F218D9" w:rsidP="00B12594">
      <w:pPr>
        <w:pStyle w:val="ListParagraph"/>
        <w:numPr>
          <w:ilvl w:val="0"/>
          <w:numId w:val="3"/>
        </w:numPr>
        <w:spacing w:after="0"/>
        <w:ind w:left="426" w:hanging="426"/>
      </w:pPr>
      <w:r>
        <w:t xml:space="preserve">At its </w:t>
      </w:r>
      <w:r w:rsidR="009C2B69">
        <w:t>meeting on 07 Decem</w:t>
      </w:r>
      <w:r w:rsidR="00B12594">
        <w:t xml:space="preserve">ber </w:t>
      </w:r>
      <w:r w:rsidR="00B87A40">
        <w:t>2021</w:t>
      </w:r>
      <w:r w:rsidR="00B10055">
        <w:t xml:space="preserve">, the </w:t>
      </w:r>
      <w:r w:rsidR="009C2B69">
        <w:t xml:space="preserve">Finance and Performance </w:t>
      </w:r>
      <w:r>
        <w:t>Panel</w:t>
      </w:r>
      <w:r w:rsidR="00A13BC5">
        <w:t xml:space="preserve"> considered</w:t>
      </w:r>
      <w:r w:rsidR="009C2B69">
        <w:t xml:space="preserve"> the forthcoming Cabinet report </w:t>
      </w:r>
      <w:r w:rsidR="00B12594">
        <w:t>concern</w:t>
      </w:r>
      <w:r w:rsidR="009C2B69">
        <w:t>ing the Asset Management Strategy</w:t>
      </w:r>
      <w:r w:rsidR="00B12594">
        <w:t xml:space="preserve">. </w:t>
      </w:r>
    </w:p>
    <w:p w:rsidR="00B12594" w:rsidRDefault="00B12594" w:rsidP="00B12594">
      <w:pPr>
        <w:pStyle w:val="ListParagraph"/>
        <w:numPr>
          <w:ilvl w:val="0"/>
          <w:numId w:val="0"/>
        </w:numPr>
        <w:spacing w:after="0"/>
        <w:ind w:left="426"/>
      </w:pPr>
    </w:p>
    <w:p w:rsidR="00C96651" w:rsidRDefault="00A13BC5" w:rsidP="00B12594">
      <w:pPr>
        <w:pStyle w:val="ListParagraph"/>
        <w:numPr>
          <w:ilvl w:val="0"/>
          <w:numId w:val="3"/>
        </w:numPr>
        <w:spacing w:after="0"/>
        <w:ind w:left="426" w:hanging="426"/>
      </w:pPr>
      <w:r>
        <w:t>The Panel would like to thank</w:t>
      </w:r>
      <w:r w:rsidR="00F218D9">
        <w:t xml:space="preserve"> </w:t>
      </w:r>
      <w:r w:rsidR="009C2B69">
        <w:t>Mike Scott</w:t>
      </w:r>
      <w:r w:rsidR="00B12594">
        <w:t xml:space="preserve">, </w:t>
      </w:r>
      <w:r w:rsidR="009C2B69">
        <w:t>Senior Estates Surveyor</w:t>
      </w:r>
      <w:r w:rsidR="00383029">
        <w:t>,</w:t>
      </w:r>
      <w:r w:rsidR="00C96651">
        <w:t xml:space="preserve"> for </w:t>
      </w:r>
      <w:r w:rsidR="00B12594">
        <w:t>authoring</w:t>
      </w:r>
      <w:r w:rsidR="009C2B69">
        <w:t xml:space="preserve"> and presenting the report</w:t>
      </w:r>
      <w:r w:rsidR="00383029">
        <w:t xml:space="preserve"> and </w:t>
      </w:r>
      <w:r w:rsidR="00B12594">
        <w:t>respond</w:t>
      </w:r>
      <w:r w:rsidR="009C2B69">
        <w:t>ing</w:t>
      </w:r>
      <w:r w:rsidR="00B12594">
        <w:t xml:space="preserve"> </w:t>
      </w:r>
      <w:r w:rsidR="00C96651">
        <w:t>to questions</w:t>
      </w:r>
      <w:r w:rsidR="009C2B69">
        <w:t xml:space="preserve">, and to Emma Gubbins, Corporate Asset Lead for her support with the meeting also. </w:t>
      </w:r>
    </w:p>
    <w:p w:rsidR="009C2B69" w:rsidRDefault="009C2B69" w:rsidP="009C2B69">
      <w:pPr>
        <w:pStyle w:val="ListParagraph"/>
        <w:numPr>
          <w:ilvl w:val="0"/>
          <w:numId w:val="0"/>
        </w:numPr>
        <w:ind w:left="360"/>
      </w:pPr>
    </w:p>
    <w:p w:rsidR="00B12594" w:rsidRDefault="00B12594" w:rsidP="00B12594"/>
    <w:p w:rsidR="00B12594" w:rsidRPr="00F218D9" w:rsidRDefault="00B12594" w:rsidP="00B12594"/>
    <w:p w:rsidR="00B51CD4" w:rsidRPr="005F2027" w:rsidRDefault="00A13BC5" w:rsidP="006525A6">
      <w:pPr>
        <w:pStyle w:val="Heading1"/>
      </w:pPr>
      <w:r w:rsidRPr="00B06D07">
        <w:lastRenderedPageBreak/>
        <w:t>Summary and recommendation</w:t>
      </w:r>
    </w:p>
    <w:p w:rsidR="00B5566B" w:rsidRDefault="00B5566B" w:rsidP="009633EE">
      <w:pPr>
        <w:spacing w:after="0"/>
      </w:pPr>
    </w:p>
    <w:p w:rsidR="00383029" w:rsidRPr="00383029" w:rsidRDefault="00D16AE3" w:rsidP="00383029">
      <w:pPr>
        <w:pStyle w:val="ListParagraph"/>
        <w:numPr>
          <w:ilvl w:val="0"/>
          <w:numId w:val="3"/>
        </w:numPr>
        <w:rPr>
          <w:color w:val="auto"/>
        </w:rPr>
      </w:pPr>
      <w:r>
        <w:rPr>
          <w:color w:val="auto"/>
        </w:rPr>
        <w:t xml:space="preserve">Mike Scott, Senior Estates Surveyor, presented to the Panel the Cabinet </w:t>
      </w:r>
      <w:r w:rsidR="003B3F69">
        <w:rPr>
          <w:color w:val="auto"/>
        </w:rPr>
        <w:t>report on</w:t>
      </w:r>
      <w:r>
        <w:rPr>
          <w:color w:val="auto"/>
        </w:rPr>
        <w:t xml:space="preserve"> the Asset Management Strategy    </w:t>
      </w:r>
      <w:r w:rsidR="00383029" w:rsidRPr="00383029">
        <w:rPr>
          <w:color w:val="auto"/>
        </w:rPr>
        <w:t xml:space="preserve">. </w:t>
      </w:r>
    </w:p>
    <w:p w:rsidR="009F59AF" w:rsidRDefault="00383029" w:rsidP="00D16AE3">
      <w:pPr>
        <w:pStyle w:val="ListParagraph"/>
        <w:numPr>
          <w:ilvl w:val="0"/>
          <w:numId w:val="3"/>
        </w:numPr>
        <w:rPr>
          <w:color w:val="auto"/>
        </w:rPr>
      </w:pPr>
      <w:r w:rsidRPr="00383029">
        <w:rPr>
          <w:color w:val="auto"/>
        </w:rPr>
        <w:t xml:space="preserve">The </w:t>
      </w:r>
      <w:r w:rsidR="00D16AE3">
        <w:rPr>
          <w:color w:val="auto"/>
        </w:rPr>
        <w:t>Strategy would cover the next 10 years, a change in approach from previously, where the Council had had five year plans. The key difference would be that the new arrangements would allow delineation betwee</w:t>
      </w:r>
      <w:r w:rsidR="003B3F69">
        <w:rPr>
          <w:color w:val="auto"/>
        </w:rPr>
        <w:t>n strategic objectives,</w:t>
      </w:r>
      <w:r w:rsidR="00D16AE3">
        <w:rPr>
          <w:color w:val="auto"/>
        </w:rPr>
        <w:t xml:space="preserve"> and the plans how to achieve those </w:t>
      </w:r>
      <w:r w:rsidR="003B3F69">
        <w:rPr>
          <w:color w:val="auto"/>
        </w:rPr>
        <w:t>objectives</w:t>
      </w:r>
      <w:r w:rsidR="00D16AE3">
        <w:rPr>
          <w:color w:val="auto"/>
        </w:rPr>
        <w:t xml:space="preserve">, enabling the Council to have a more flexible and dynamic approach. In terms of its contents, the strategy engaged with new issues, such as the impacts of Covid on the commercial property market, but was generally an evolution from previous iterations. An investment of £20m in regenerative activities would help dilute the Council’s high concentration of property within the retail sector. Another issue more prominent in the strategy compared to previous documents was the activity of the Council in seeking to address the Climate Emergency. </w:t>
      </w:r>
      <w:r w:rsidR="00FB087C">
        <w:rPr>
          <w:color w:val="auto"/>
        </w:rPr>
        <w:t xml:space="preserve">Cost-wise, the Strategy was already included within the Medium Term Financial Plan, meaning the costs formed part of the Council’s existing budget. </w:t>
      </w:r>
    </w:p>
    <w:p w:rsidR="00600CEF" w:rsidRPr="005E60A4" w:rsidRDefault="005E60A4" w:rsidP="005E60A4">
      <w:pPr>
        <w:pStyle w:val="ListParagraph"/>
        <w:numPr>
          <w:ilvl w:val="0"/>
          <w:numId w:val="3"/>
        </w:numPr>
        <w:rPr>
          <w:color w:val="auto"/>
        </w:rPr>
      </w:pPr>
      <w:r>
        <w:rPr>
          <w:color w:val="auto"/>
        </w:rPr>
        <w:t xml:space="preserve">Issues discussed by the Panel in response to the report presented included; exploring </w:t>
      </w:r>
      <w:r w:rsidR="00B9607E" w:rsidRPr="005E60A4">
        <w:rPr>
          <w:color w:val="auto"/>
        </w:rPr>
        <w:t>issues around a</w:t>
      </w:r>
      <w:r w:rsidR="00FB087C" w:rsidRPr="005E60A4">
        <w:rPr>
          <w:color w:val="auto"/>
        </w:rPr>
        <w:t>lternative diversification</w:t>
      </w:r>
      <w:r w:rsidR="00B9607E" w:rsidRPr="005E60A4">
        <w:rPr>
          <w:color w:val="auto"/>
        </w:rPr>
        <w:t xml:space="preserve"> possibilities, particularly housing and logistics</w:t>
      </w:r>
      <w:r>
        <w:rPr>
          <w:color w:val="auto"/>
        </w:rPr>
        <w:t>; the i</w:t>
      </w:r>
      <w:r w:rsidR="00B9607E" w:rsidRPr="005E60A4">
        <w:rPr>
          <w:color w:val="auto"/>
        </w:rPr>
        <w:t>mportance of integration of biodiversity into projects rather than just including it in designated sites</w:t>
      </w:r>
      <w:r>
        <w:rPr>
          <w:color w:val="auto"/>
        </w:rPr>
        <w:t>; noting the value of</w:t>
      </w:r>
      <w:r w:rsidR="005D1099" w:rsidRPr="005E60A4">
        <w:rPr>
          <w:color w:val="auto"/>
        </w:rPr>
        <w:t xml:space="preserve"> taking a policy view on whether to support boats as homes in the City in order to maximise the utility of the Council</w:t>
      </w:r>
      <w:r>
        <w:rPr>
          <w:color w:val="auto"/>
        </w:rPr>
        <w:t>’s waterway assets; t</w:t>
      </w:r>
      <w:r w:rsidR="001D2D5E" w:rsidRPr="005E60A4">
        <w:rPr>
          <w:color w:val="auto"/>
        </w:rPr>
        <w:t>he comparative attractiveness of the city centre as a shopping destination</w:t>
      </w:r>
      <w:r>
        <w:rPr>
          <w:color w:val="auto"/>
        </w:rPr>
        <w:t>; t</w:t>
      </w:r>
      <w:r w:rsidR="00600CEF" w:rsidRPr="005E60A4">
        <w:rPr>
          <w:color w:val="auto"/>
        </w:rPr>
        <w:t>he level of resource available for the implementation of the Strategy, and the degree of cross-working between Cou</w:t>
      </w:r>
      <w:r>
        <w:rPr>
          <w:color w:val="auto"/>
        </w:rPr>
        <w:t>ncil departments to deliver it and the issues arising from the need to work</w:t>
      </w:r>
      <w:r w:rsidR="00600CEF" w:rsidRPr="005E60A4">
        <w:rPr>
          <w:color w:val="auto"/>
        </w:rPr>
        <w:t xml:space="preserve"> within the constraints of the Local Plan</w:t>
      </w:r>
      <w:r>
        <w:rPr>
          <w:color w:val="auto"/>
        </w:rPr>
        <w:t>.</w:t>
      </w:r>
    </w:p>
    <w:p w:rsidR="00D54BB9" w:rsidRPr="009F59AF" w:rsidRDefault="002E18F6" w:rsidP="009F59AF">
      <w:pPr>
        <w:pStyle w:val="ListParagraph"/>
        <w:numPr>
          <w:ilvl w:val="0"/>
          <w:numId w:val="3"/>
        </w:numPr>
        <w:rPr>
          <w:color w:val="auto"/>
        </w:rPr>
      </w:pPr>
      <w:r>
        <w:t>T</w:t>
      </w:r>
      <w:r w:rsidR="009F59AF">
        <w:t>h</w:t>
      </w:r>
      <w:r w:rsidR="000A3F7D">
        <w:t xml:space="preserve">e </w:t>
      </w:r>
      <w:r w:rsidR="009B57F4">
        <w:t xml:space="preserve">Panel </w:t>
      </w:r>
      <w:r w:rsidR="00B5566B">
        <w:t>wishes</w:t>
      </w:r>
      <w:r w:rsidR="00C75E54">
        <w:t xml:space="preserve"> </w:t>
      </w:r>
      <w:r w:rsidR="00AA50F9">
        <w:t xml:space="preserve">to make </w:t>
      </w:r>
      <w:r>
        <w:t>one recommendation</w:t>
      </w:r>
      <w:r w:rsidR="004E1048">
        <w:t xml:space="preserve"> regarding </w:t>
      </w:r>
      <w:r w:rsidR="005E60A4">
        <w:t>the carbon reduction strand of the policy, and the importance of phasing out gas.</w:t>
      </w:r>
    </w:p>
    <w:p w:rsidR="007E0E3F" w:rsidRDefault="003B3F69" w:rsidP="006525A6">
      <w:pPr>
        <w:pStyle w:val="Heading1"/>
      </w:pPr>
      <w:r>
        <w:t>Carbon Reduction</w:t>
      </w:r>
    </w:p>
    <w:p w:rsidR="005D1099" w:rsidRDefault="009F59AF" w:rsidP="005E60A4">
      <w:pPr>
        <w:pStyle w:val="ListParagraph"/>
        <w:numPr>
          <w:ilvl w:val="0"/>
          <w:numId w:val="3"/>
        </w:numPr>
        <w:spacing w:after="0"/>
        <w:ind w:left="426" w:hanging="426"/>
      </w:pPr>
      <w:r>
        <w:t xml:space="preserve">The </w:t>
      </w:r>
      <w:r w:rsidR="00B9607E">
        <w:t>draft Asset Management Strategy states in s 7.4 that ‘The Council’s strategic response to these challenges are not to be seen as ‘nice to have’ but as ‘must have’ if it is to deliver on our carbon goals for our operational property assets, as set out in our Carbon Management Plan.’ The Panel is fully in agreement with this view.</w:t>
      </w:r>
      <w:r w:rsidR="005D1099">
        <w:t xml:space="preserve"> </w:t>
      </w:r>
      <w:r w:rsidR="005E60A4">
        <w:t>The Strategy also notes that ‘g</w:t>
      </w:r>
      <w:r w:rsidR="005D1099">
        <w:t>as combustion accounts for 43% of the Council’s emissions. Emissions have increased due to the addition of extra properties on our estate carbon footprint and through increased usage in our leisure centres.</w:t>
      </w:r>
      <w:r w:rsidR="005E60A4">
        <w:t>’</w:t>
      </w:r>
    </w:p>
    <w:p w:rsidR="005D1099" w:rsidRDefault="005D1099" w:rsidP="005D1099">
      <w:pPr>
        <w:pStyle w:val="ListParagraph"/>
        <w:numPr>
          <w:ilvl w:val="0"/>
          <w:numId w:val="0"/>
        </w:numPr>
        <w:spacing w:after="0"/>
        <w:ind w:left="426"/>
      </w:pPr>
    </w:p>
    <w:p w:rsidR="009F59AF" w:rsidRDefault="005E60A4" w:rsidP="002E18F6">
      <w:pPr>
        <w:pStyle w:val="ListParagraph"/>
        <w:numPr>
          <w:ilvl w:val="0"/>
          <w:numId w:val="3"/>
        </w:numPr>
        <w:spacing w:after="0"/>
        <w:ind w:left="426" w:hanging="426"/>
      </w:pPr>
      <w:r>
        <w:t>In discussion of this the view of the Panel was that if gas usage is sufficiently deleterious to the Council’s carbon reduction targets that it is specifically identified</w:t>
      </w:r>
      <w:r w:rsidR="005D5EF7">
        <w:t xml:space="preserve"> as part of the strategy, the Council ought to be meeting that issue with a commensurate response, to phase out </w:t>
      </w:r>
      <w:r w:rsidR="005D1099">
        <w:t>gas</w:t>
      </w:r>
      <w:r w:rsidR="005D5EF7">
        <w:t xml:space="preserve"> usage</w:t>
      </w:r>
      <w:r w:rsidR="005D1099">
        <w:t xml:space="preserve"> over the medium to long term. </w:t>
      </w:r>
    </w:p>
    <w:p w:rsidR="005D1099" w:rsidRDefault="005D1099" w:rsidP="00116B9B">
      <w:pPr>
        <w:pStyle w:val="ListParagraph"/>
        <w:numPr>
          <w:ilvl w:val="0"/>
          <w:numId w:val="0"/>
        </w:numPr>
        <w:ind w:left="360"/>
      </w:pPr>
    </w:p>
    <w:p w:rsidR="005D1099" w:rsidRDefault="005D1099" w:rsidP="000171F1">
      <w:pPr>
        <w:pStyle w:val="ListParagraph"/>
        <w:numPr>
          <w:ilvl w:val="0"/>
          <w:numId w:val="3"/>
        </w:numPr>
        <w:spacing w:after="0"/>
        <w:ind w:left="426" w:hanging="426"/>
      </w:pPr>
      <w:r>
        <w:t xml:space="preserve">The response made by officers to this suggestion was that particular projects and properties, with their own specific needs and considerations would be </w:t>
      </w:r>
      <w:r>
        <w:lastRenderedPageBreak/>
        <w:t>informed by the strategy</w:t>
      </w:r>
      <w:r w:rsidR="00116B9B">
        <w:t xml:space="preserve"> goals, but the specific means of achieving those goals most effectively would be situation-specific and more appropriately dealt with as part of the Asset Management Action Plan, rather than </w:t>
      </w:r>
      <w:r w:rsidR="003B3F69">
        <w:t xml:space="preserve">committed to within </w:t>
      </w:r>
      <w:r w:rsidR="00116B9B">
        <w:t>the overall Strategy. The Panel largely takes this point, that a strategy document should</w:t>
      </w:r>
      <w:r w:rsidR="005D5EF7">
        <w:t xml:space="preserve"> not</w:t>
      </w:r>
      <w:r w:rsidR="00116B9B">
        <w:t xml:space="preserve"> unduly fetter the Council in options to achieve its strategic aims by being </w:t>
      </w:r>
      <w:r w:rsidR="005D5EF7">
        <w:t>excessively</w:t>
      </w:r>
      <w:r w:rsidR="00116B9B">
        <w:t xml:space="preserve"> specific. In this instance, however, the Panel feels that with gas </w:t>
      </w:r>
      <w:r w:rsidR="001D2D5E">
        <w:t>being such a significant contrib</w:t>
      </w:r>
      <w:r w:rsidR="00116B9B">
        <w:t xml:space="preserve">utor to Council carbon emissions, if the Council is to meet its zero carbon targets, it must address the use of gas. </w:t>
      </w:r>
      <w:r w:rsidR="000171F1">
        <w:t>This is particularly the case as the Cabinet is due to reconsider its green gas purchasing policy and recommends diverting the monies for it towards ‘net zero transition.’</w:t>
      </w:r>
      <w:r w:rsidR="001D2D5E">
        <w:t xml:space="preserve"> </w:t>
      </w:r>
      <w:r w:rsidR="000171F1">
        <w:t xml:space="preserve">The Panel considers its suggestion to be very much consistent with this position and suggests that it is appropriate that a commitment towards phasing out the use of gas in the medium to long term is therefore included in the Asset Management Strategy. </w:t>
      </w:r>
    </w:p>
    <w:p w:rsidR="002E18F6" w:rsidRDefault="002E18F6" w:rsidP="002E18F6">
      <w:pPr>
        <w:pStyle w:val="ListParagraph"/>
        <w:numPr>
          <w:ilvl w:val="0"/>
          <w:numId w:val="0"/>
        </w:numPr>
        <w:spacing w:after="0"/>
        <w:ind w:left="426"/>
      </w:pPr>
    </w:p>
    <w:p w:rsidR="00C43D9C" w:rsidRDefault="00B857FF" w:rsidP="00A05646">
      <w:pPr>
        <w:ind w:left="426"/>
        <w:rPr>
          <w:b/>
          <w:color w:val="auto"/>
        </w:rPr>
      </w:pPr>
      <w:r>
        <w:rPr>
          <w:b/>
        </w:rPr>
        <w:t>Recommendation 1</w:t>
      </w:r>
      <w:r w:rsidR="007E0E3F" w:rsidRPr="00D414EA">
        <w:rPr>
          <w:b/>
        </w:rPr>
        <w:t xml:space="preserve">: </w:t>
      </w:r>
      <w:r w:rsidR="00196F4B" w:rsidRPr="009F59AF">
        <w:rPr>
          <w:b/>
        </w:rPr>
        <w:t xml:space="preserve">That </w:t>
      </w:r>
      <w:r w:rsidR="009F59AF" w:rsidRPr="009F59AF">
        <w:rPr>
          <w:b/>
        </w:rPr>
        <w:t xml:space="preserve">the Council </w:t>
      </w:r>
      <w:r w:rsidR="005D5EF7">
        <w:rPr>
          <w:b/>
        </w:rPr>
        <w:t xml:space="preserve">includes within the Strategy a commitment to working towards phasing out the use of gas within its non-domestic properties over the medium to long term. </w:t>
      </w:r>
    </w:p>
    <w:p w:rsidR="00B018EA" w:rsidRPr="00A05646" w:rsidRDefault="006A5C65" w:rsidP="00A05646">
      <w:pPr>
        <w:pStyle w:val="Heading1"/>
      </w:pPr>
      <w:r w:rsidRPr="006A5C65">
        <w:t xml:space="preserve">Further Consideration </w:t>
      </w:r>
    </w:p>
    <w:p w:rsidR="0088675D" w:rsidRDefault="002E18F6" w:rsidP="00BD6790">
      <w:pPr>
        <w:pStyle w:val="ListParagraph"/>
        <w:numPr>
          <w:ilvl w:val="0"/>
          <w:numId w:val="3"/>
        </w:numPr>
        <w:spacing w:after="0"/>
        <w:ind w:left="426" w:hanging="426"/>
        <w:rPr>
          <w:color w:val="auto"/>
        </w:rPr>
      </w:pPr>
      <w:r>
        <w:rPr>
          <w:color w:val="auto"/>
        </w:rPr>
        <w:t xml:space="preserve">The Panel does not anticipate revisiting this issue again directly, although a lot of the issues the strategy aims to address will remain of relevance and interest to the Panel in its consideration of other items. </w:t>
      </w:r>
    </w:p>
    <w:p w:rsidR="002E18F6" w:rsidRPr="002E18F6" w:rsidRDefault="002E18F6" w:rsidP="002E18F6">
      <w:pPr>
        <w:pStyle w:val="ListParagraph"/>
        <w:numPr>
          <w:ilvl w:val="0"/>
          <w:numId w:val="0"/>
        </w:numPr>
        <w:spacing w:after="0"/>
        <w:ind w:left="426"/>
        <w:rPr>
          <w:color w:val="auto"/>
        </w:rPr>
      </w:pPr>
    </w:p>
    <w:tbl>
      <w:tblPr>
        <w:tblW w:w="0" w:type="auto"/>
        <w:tblInd w:w="108" w:type="dxa"/>
        <w:tblBorders>
          <w:top w:val="single" w:sz="4" w:space="0" w:color="C0504D"/>
          <w:left w:val="single" w:sz="4" w:space="0" w:color="C0504D"/>
          <w:bottom w:val="single" w:sz="4" w:space="0" w:color="C0504D"/>
          <w:right w:val="single" w:sz="4" w:space="0" w:color="C0504D"/>
        </w:tblBorders>
        <w:tblLook w:val="04A0" w:firstRow="1" w:lastRow="0" w:firstColumn="1" w:lastColumn="0" w:noHBand="0" w:noVBand="1"/>
      </w:tblPr>
      <w:tblGrid>
        <w:gridCol w:w="3951"/>
        <w:gridCol w:w="4947"/>
      </w:tblGrid>
      <w:tr w:rsidR="0088675D" w:rsidRPr="008E4D66" w:rsidTr="00972BCF">
        <w:trPr>
          <w:cantSplit/>
          <w:trHeight w:val="396"/>
        </w:trPr>
        <w:tc>
          <w:tcPr>
            <w:tcW w:w="3969" w:type="dxa"/>
            <w:tcBorders>
              <w:top w:val="single" w:sz="8" w:space="0" w:color="000000"/>
              <w:left w:val="single" w:sz="8" w:space="0" w:color="000000"/>
              <w:bottom w:val="single" w:sz="8" w:space="0" w:color="000000"/>
              <w:right w:val="nil"/>
            </w:tcBorders>
            <w:shd w:val="clear" w:color="auto" w:fill="auto"/>
          </w:tcPr>
          <w:p w:rsidR="0088675D" w:rsidRPr="008E4D66" w:rsidRDefault="0088675D" w:rsidP="00972BCF">
            <w:pPr>
              <w:rPr>
                <w:b/>
                <w:color w:val="auto"/>
              </w:rPr>
            </w:pPr>
            <w:r w:rsidRPr="008E4D66">
              <w:rPr>
                <w:b/>
                <w:color w:val="auto"/>
              </w:rPr>
              <w:t>Report author</w:t>
            </w:r>
          </w:p>
        </w:tc>
        <w:tc>
          <w:tcPr>
            <w:tcW w:w="4962" w:type="dxa"/>
            <w:tcBorders>
              <w:top w:val="single" w:sz="8" w:space="0" w:color="000000"/>
              <w:left w:val="nil"/>
              <w:bottom w:val="single" w:sz="8" w:space="0" w:color="000000"/>
              <w:right w:val="single" w:sz="8" w:space="0" w:color="000000"/>
            </w:tcBorders>
            <w:shd w:val="clear" w:color="auto" w:fill="auto"/>
          </w:tcPr>
          <w:p w:rsidR="0088675D" w:rsidRPr="008E4D66" w:rsidRDefault="00F23B47" w:rsidP="00972BCF">
            <w:pPr>
              <w:rPr>
                <w:color w:val="auto"/>
              </w:rPr>
            </w:pPr>
            <w:r>
              <w:rPr>
                <w:color w:val="auto"/>
              </w:rPr>
              <w:t>Tom Hud</w:t>
            </w:r>
            <w:r w:rsidR="0088675D">
              <w:rPr>
                <w:color w:val="auto"/>
              </w:rPr>
              <w:t>son</w:t>
            </w:r>
          </w:p>
        </w:tc>
      </w:tr>
      <w:tr w:rsidR="0088675D" w:rsidRPr="008E4D66" w:rsidTr="00972BCF">
        <w:trPr>
          <w:cantSplit/>
          <w:trHeight w:val="396"/>
        </w:trPr>
        <w:tc>
          <w:tcPr>
            <w:tcW w:w="3969" w:type="dxa"/>
            <w:tcBorders>
              <w:top w:val="single" w:sz="8" w:space="0" w:color="000000"/>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Job title</w:t>
            </w:r>
          </w:p>
        </w:tc>
        <w:tc>
          <w:tcPr>
            <w:tcW w:w="4962" w:type="dxa"/>
            <w:tcBorders>
              <w:top w:val="single" w:sz="8" w:space="0" w:color="000000"/>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Scrutiny Officer</w:t>
            </w:r>
          </w:p>
        </w:tc>
      </w:tr>
      <w:tr w:rsidR="0088675D" w:rsidRPr="008E4D66" w:rsidTr="00972BCF">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Service area or department</w:t>
            </w:r>
          </w:p>
        </w:tc>
        <w:tc>
          <w:tcPr>
            <w:tcW w:w="4962" w:type="dxa"/>
            <w:tcBorders>
              <w:top w:val="nil"/>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Law and Governance</w:t>
            </w:r>
          </w:p>
        </w:tc>
      </w:tr>
      <w:tr w:rsidR="0088675D" w:rsidRPr="008E4D66" w:rsidTr="00972BCF">
        <w:trPr>
          <w:cantSplit/>
          <w:trHeight w:val="396"/>
        </w:trPr>
        <w:tc>
          <w:tcPr>
            <w:tcW w:w="3969" w:type="dxa"/>
            <w:tcBorders>
              <w:top w:val="nil"/>
              <w:left w:val="single" w:sz="8" w:space="0" w:color="000000"/>
              <w:bottom w:val="nil"/>
              <w:right w:val="nil"/>
            </w:tcBorders>
            <w:shd w:val="clear" w:color="auto" w:fill="auto"/>
          </w:tcPr>
          <w:p w:rsidR="0088675D" w:rsidRPr="008E4D66" w:rsidRDefault="0088675D" w:rsidP="00972BCF">
            <w:pPr>
              <w:rPr>
                <w:color w:val="auto"/>
              </w:rPr>
            </w:pPr>
            <w:r w:rsidRPr="008E4D66">
              <w:rPr>
                <w:color w:val="auto"/>
              </w:rPr>
              <w:t xml:space="preserve">Telephone </w:t>
            </w:r>
          </w:p>
        </w:tc>
        <w:tc>
          <w:tcPr>
            <w:tcW w:w="4962" w:type="dxa"/>
            <w:tcBorders>
              <w:top w:val="nil"/>
              <w:left w:val="nil"/>
              <w:bottom w:val="nil"/>
              <w:right w:val="single" w:sz="8" w:space="0" w:color="000000"/>
            </w:tcBorders>
            <w:shd w:val="clear" w:color="auto" w:fill="auto"/>
          </w:tcPr>
          <w:p w:rsidR="0088675D" w:rsidRPr="008E4D66" w:rsidRDefault="0088675D" w:rsidP="00972BCF">
            <w:pPr>
              <w:rPr>
                <w:color w:val="auto"/>
              </w:rPr>
            </w:pPr>
            <w:r w:rsidRPr="008E4D66">
              <w:rPr>
                <w:color w:val="auto"/>
              </w:rPr>
              <w:t>01865 25</w:t>
            </w:r>
            <w:r>
              <w:rPr>
                <w:color w:val="auto"/>
              </w:rPr>
              <w:t>2191</w:t>
            </w:r>
            <w:r w:rsidRPr="008E4D66">
              <w:rPr>
                <w:color w:val="auto"/>
              </w:rPr>
              <w:t xml:space="preserve"> </w:t>
            </w:r>
          </w:p>
        </w:tc>
      </w:tr>
      <w:tr w:rsidR="0088675D" w:rsidRPr="008E4D66" w:rsidTr="00972BCF">
        <w:trPr>
          <w:cantSplit/>
          <w:trHeight w:val="396"/>
        </w:trPr>
        <w:tc>
          <w:tcPr>
            <w:tcW w:w="3969" w:type="dxa"/>
            <w:tcBorders>
              <w:top w:val="nil"/>
              <w:left w:val="single" w:sz="8" w:space="0" w:color="000000"/>
              <w:bottom w:val="single" w:sz="8" w:space="0" w:color="000000"/>
              <w:right w:val="nil"/>
            </w:tcBorders>
            <w:shd w:val="clear" w:color="auto" w:fill="auto"/>
          </w:tcPr>
          <w:p w:rsidR="0088675D" w:rsidRPr="008E4D66" w:rsidRDefault="0088675D" w:rsidP="00972BCF">
            <w:pPr>
              <w:rPr>
                <w:color w:val="auto"/>
              </w:rPr>
            </w:pPr>
            <w:r w:rsidRPr="008E4D66">
              <w:rPr>
                <w:color w:val="auto"/>
              </w:rPr>
              <w:t xml:space="preserve">e-mail </w:t>
            </w:r>
          </w:p>
        </w:tc>
        <w:tc>
          <w:tcPr>
            <w:tcW w:w="4962" w:type="dxa"/>
            <w:tcBorders>
              <w:top w:val="nil"/>
              <w:left w:val="nil"/>
              <w:bottom w:val="single" w:sz="8" w:space="0" w:color="000000"/>
              <w:right w:val="single" w:sz="8" w:space="0" w:color="000000"/>
            </w:tcBorders>
            <w:shd w:val="clear" w:color="auto" w:fill="auto"/>
          </w:tcPr>
          <w:p w:rsidR="0088675D" w:rsidRPr="008E4D66" w:rsidRDefault="00F23B47" w:rsidP="00972BCF">
            <w:pPr>
              <w:rPr>
                <w:rStyle w:val="Hyperlink"/>
                <w:color w:val="auto"/>
              </w:rPr>
            </w:pPr>
            <w:r>
              <w:rPr>
                <w:rStyle w:val="Hyperlink"/>
                <w:color w:val="auto"/>
              </w:rPr>
              <w:t>thud</w:t>
            </w:r>
            <w:r w:rsidR="0088675D">
              <w:rPr>
                <w:rStyle w:val="Hyperlink"/>
                <w:color w:val="auto"/>
              </w:rPr>
              <w:t>son</w:t>
            </w:r>
            <w:r w:rsidR="0088675D" w:rsidRPr="008E4D66">
              <w:rPr>
                <w:rStyle w:val="Hyperlink"/>
                <w:color w:val="auto"/>
              </w:rPr>
              <w:t>@oxford.gov.uk</w:t>
            </w:r>
          </w:p>
        </w:tc>
      </w:tr>
    </w:tbl>
    <w:p w:rsidR="0013640C" w:rsidRDefault="0013640C" w:rsidP="003A6A12">
      <w:pPr>
        <w:spacing w:after="0"/>
        <w:rPr>
          <w:color w:val="auto"/>
        </w:rPr>
        <w:sectPr w:rsidR="0013640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rsidR="0013640C" w:rsidRDefault="0013640C" w:rsidP="0013640C">
      <w:pPr>
        <w:rPr>
          <w:rFonts w:cs="Arial"/>
          <w:b/>
        </w:rPr>
      </w:pPr>
      <w:r>
        <w:rPr>
          <w:rFonts w:cs="Arial"/>
          <w:b/>
        </w:rPr>
        <w:lastRenderedPageBreak/>
        <w:t>Cabinet response to</w:t>
      </w:r>
      <w:r w:rsidRPr="00DE5736">
        <w:rPr>
          <w:rFonts w:cs="Arial"/>
          <w:b/>
        </w:rPr>
        <w:t xml:space="preserve"> </w:t>
      </w:r>
      <w:r w:rsidR="00B857FF">
        <w:rPr>
          <w:rFonts w:cs="Arial"/>
          <w:b/>
        </w:rPr>
        <w:t xml:space="preserve">recommendations of the </w:t>
      </w:r>
      <w:r w:rsidR="005E60A4">
        <w:rPr>
          <w:rFonts w:cs="Arial"/>
          <w:b/>
        </w:rPr>
        <w:t>Finance and Performance</w:t>
      </w:r>
      <w:r w:rsidR="00F218D9">
        <w:rPr>
          <w:rFonts w:cs="Arial"/>
          <w:b/>
        </w:rPr>
        <w:t xml:space="preserve"> Panel</w:t>
      </w:r>
      <w:r w:rsidR="00B857FF">
        <w:rPr>
          <w:rFonts w:cs="Arial"/>
          <w:b/>
        </w:rPr>
        <w:t xml:space="preserve"> </w:t>
      </w:r>
      <w:r w:rsidRPr="00D8335C">
        <w:rPr>
          <w:rFonts w:cs="Arial"/>
          <w:b/>
        </w:rPr>
        <w:t xml:space="preserve">made on </w:t>
      </w:r>
      <w:r w:rsidR="002E18F6">
        <w:rPr>
          <w:rFonts w:cs="Arial"/>
          <w:b/>
        </w:rPr>
        <w:t>07/12</w:t>
      </w:r>
      <w:r w:rsidR="00B12594">
        <w:rPr>
          <w:rFonts w:cs="Arial"/>
          <w:b/>
        </w:rPr>
        <w:t xml:space="preserve">/2021 concerning </w:t>
      </w:r>
      <w:r w:rsidR="003B3F69">
        <w:rPr>
          <w:rFonts w:cs="Arial"/>
          <w:b/>
        </w:rPr>
        <w:t>the Asset Management Strategy report.</w:t>
      </w:r>
    </w:p>
    <w:p w:rsidR="0013640C" w:rsidRPr="00B12594" w:rsidRDefault="00A25E58" w:rsidP="00B12594">
      <w:pPr>
        <w:spacing w:after="0"/>
        <w:rPr>
          <w:color w:val="auto"/>
        </w:rPr>
      </w:pPr>
      <w:r>
        <w:rPr>
          <w:rFonts w:cs="Arial"/>
          <w:b/>
        </w:rPr>
        <w:t>A verbal response will be p</w:t>
      </w:r>
      <w:r w:rsidR="0013640C" w:rsidRPr="005147B8">
        <w:rPr>
          <w:rFonts w:cs="Arial"/>
          <w:b/>
        </w:rPr>
        <w:t xml:space="preserve">rovided by the </w:t>
      </w:r>
      <w:r w:rsidR="00FD0F86">
        <w:rPr>
          <w:rFonts w:cs="Arial"/>
          <w:b/>
        </w:rPr>
        <w:t>Cabinet</w:t>
      </w:r>
      <w:r w:rsidR="0013640C" w:rsidRPr="005147B8">
        <w:rPr>
          <w:rFonts w:cs="Arial"/>
          <w:b/>
        </w:rPr>
        <w:t xml:space="preserve"> Member for </w:t>
      </w:r>
      <w:r w:rsidR="002E18F6">
        <w:rPr>
          <w:rFonts w:ascii="Helvetica" w:hAnsi="Helvetica" w:cs="Helvetica"/>
          <w:b/>
          <w:color w:val="auto"/>
          <w:shd w:val="clear" w:color="auto" w:fill="FFFFFF"/>
        </w:rPr>
        <w:t>Finance and Asset Management</w:t>
      </w:r>
      <w:r w:rsidR="00B12594" w:rsidRPr="00B12594">
        <w:rPr>
          <w:rFonts w:ascii="Helvetica" w:hAnsi="Helvetica" w:cs="Helvetica"/>
          <w:b/>
          <w:color w:val="auto"/>
          <w:shd w:val="clear" w:color="auto" w:fill="FFFFFF"/>
        </w:rPr>
        <w:t xml:space="preserve">, </w:t>
      </w:r>
      <w:r w:rsidR="002E18F6">
        <w:rPr>
          <w:rFonts w:ascii="Helvetica" w:hAnsi="Helvetica" w:cs="Helvetica"/>
          <w:b/>
          <w:color w:val="auto"/>
          <w:shd w:val="clear" w:color="auto" w:fill="FFFFFF"/>
        </w:rPr>
        <w:t>Councillor Ed Turner</w:t>
      </w:r>
    </w:p>
    <w:p w:rsidR="0013640C" w:rsidRDefault="0013640C" w:rsidP="0013640C">
      <w:pPr>
        <w:rPr>
          <w:rFonts w:cs="Arial"/>
          <w:b/>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3640C" w:rsidRPr="00AC577F" w:rsidTr="00972BCF">
        <w:tc>
          <w:tcPr>
            <w:tcW w:w="6629" w:type="dxa"/>
            <w:shd w:val="clear" w:color="auto" w:fill="D9D9D9"/>
            <w:vAlign w:val="center"/>
          </w:tcPr>
          <w:p w:rsidR="0013640C" w:rsidRPr="00AC577F" w:rsidRDefault="0013640C" w:rsidP="00972BCF">
            <w:pPr>
              <w:rPr>
                <w:rFonts w:cs="Arial"/>
                <w:b/>
                <w:i/>
              </w:rPr>
            </w:pPr>
            <w:r w:rsidRPr="00AC577F">
              <w:rPr>
                <w:rFonts w:cs="Arial"/>
                <w:b/>
                <w:i/>
              </w:rPr>
              <w:t>Recommendation</w:t>
            </w:r>
          </w:p>
        </w:tc>
        <w:tc>
          <w:tcPr>
            <w:tcW w:w="1134" w:type="dxa"/>
            <w:shd w:val="clear" w:color="auto" w:fill="D9D9D9"/>
            <w:vAlign w:val="center"/>
          </w:tcPr>
          <w:p w:rsidR="0013640C" w:rsidRPr="00AC577F" w:rsidRDefault="0013640C" w:rsidP="00972BCF">
            <w:pPr>
              <w:rPr>
                <w:rFonts w:cs="Arial"/>
                <w:b/>
                <w:i/>
              </w:rPr>
            </w:pPr>
            <w:r w:rsidRPr="00AC577F">
              <w:rPr>
                <w:rFonts w:cs="Arial"/>
                <w:b/>
                <w:i/>
              </w:rPr>
              <w:t xml:space="preserve">Agree? </w:t>
            </w:r>
          </w:p>
        </w:tc>
        <w:tc>
          <w:tcPr>
            <w:tcW w:w="6520" w:type="dxa"/>
            <w:shd w:val="clear" w:color="auto" w:fill="D9D9D9"/>
            <w:vAlign w:val="center"/>
          </w:tcPr>
          <w:p w:rsidR="0013640C" w:rsidRPr="00AC577F" w:rsidRDefault="0013640C" w:rsidP="00972BCF">
            <w:pPr>
              <w:rPr>
                <w:rFonts w:cs="Arial"/>
                <w:b/>
                <w:i/>
              </w:rPr>
            </w:pPr>
            <w:r w:rsidRPr="00AC577F">
              <w:rPr>
                <w:rFonts w:cs="Arial"/>
                <w:b/>
                <w:i/>
              </w:rPr>
              <w:t>Comment</w:t>
            </w:r>
          </w:p>
        </w:tc>
      </w:tr>
      <w:tr w:rsidR="0013640C" w:rsidRPr="00AC577F" w:rsidTr="00972BCF">
        <w:trPr>
          <w:trHeight w:val="305"/>
        </w:trPr>
        <w:tc>
          <w:tcPr>
            <w:tcW w:w="6629" w:type="dxa"/>
            <w:shd w:val="clear" w:color="auto" w:fill="auto"/>
          </w:tcPr>
          <w:p w:rsidR="0013640C" w:rsidRPr="009F59AF" w:rsidRDefault="00AB2FDF" w:rsidP="003B3F69">
            <w:pPr>
              <w:numPr>
                <w:ilvl w:val="0"/>
                <w:numId w:val="17"/>
              </w:numPr>
              <w:spacing w:after="0"/>
              <w:rPr>
                <w:rFonts w:cs="Arial"/>
                <w:b/>
              </w:rPr>
            </w:pPr>
            <w:r w:rsidRPr="009F59AF">
              <w:rPr>
                <w:b/>
              </w:rPr>
              <w:t xml:space="preserve">That the Council </w:t>
            </w:r>
            <w:r w:rsidR="003B3F69">
              <w:rPr>
                <w:b/>
              </w:rPr>
              <w:t>includes within the Strategy a commitment to working towards phasing out the use of gas within its non-domestic properties over the medium to long term.</w:t>
            </w:r>
          </w:p>
        </w:tc>
        <w:tc>
          <w:tcPr>
            <w:tcW w:w="1134" w:type="dxa"/>
            <w:shd w:val="clear" w:color="auto" w:fill="auto"/>
          </w:tcPr>
          <w:p w:rsidR="0013640C" w:rsidRPr="00AC577F" w:rsidRDefault="0013640C" w:rsidP="0017067E">
            <w:pPr>
              <w:rPr>
                <w:rFonts w:cs="Arial"/>
              </w:rPr>
            </w:pPr>
          </w:p>
        </w:tc>
        <w:tc>
          <w:tcPr>
            <w:tcW w:w="6520" w:type="dxa"/>
            <w:shd w:val="clear" w:color="auto" w:fill="auto"/>
          </w:tcPr>
          <w:p w:rsidR="0013640C" w:rsidRPr="00AC577F" w:rsidRDefault="0013640C" w:rsidP="006A5A6F">
            <w:pPr>
              <w:rPr>
                <w:rFonts w:cs="Arial"/>
              </w:rPr>
            </w:pPr>
          </w:p>
        </w:tc>
      </w:tr>
    </w:tbl>
    <w:p w:rsidR="00564519" w:rsidRDefault="00564519" w:rsidP="0013640C">
      <w:pPr>
        <w:spacing w:after="0"/>
        <w:rPr>
          <w:b/>
          <w:color w:val="auto"/>
        </w:rPr>
      </w:pPr>
    </w:p>
    <w:p w:rsidR="002854EF" w:rsidRPr="002854EF" w:rsidRDefault="002854EF" w:rsidP="0013640C">
      <w:pPr>
        <w:spacing w:after="0"/>
        <w:rPr>
          <w:b/>
          <w:color w:val="auto"/>
        </w:rPr>
      </w:pPr>
    </w:p>
    <w:sectPr w:rsidR="002854EF" w:rsidRPr="002854EF" w:rsidSect="00972BCF">
      <w:footerReference w:type="default" r:id="rId15"/>
      <w:pgSz w:w="16838" w:h="11906" w:orient="landscape"/>
      <w:pgMar w:top="1134" w:right="1418" w:bottom="1134" w:left="1418" w:header="709" w:footer="5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946" w:rsidRDefault="00FA3946" w:rsidP="00A13BC5">
      <w:pPr>
        <w:spacing w:after="0"/>
      </w:pPr>
      <w:r>
        <w:separator/>
      </w:r>
    </w:p>
  </w:endnote>
  <w:endnote w:type="continuationSeparator" w:id="0">
    <w:p w:rsidR="00FA3946" w:rsidRDefault="00FA3946" w:rsidP="00A13BC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58" w:rsidRDefault="00A2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58" w:rsidRDefault="00A25E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58" w:rsidRDefault="00A25E5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BCF" w:rsidRDefault="0013640C">
    <w:pPr>
      <w:pStyle w:val="Footer"/>
    </w:pPr>
    <w:r>
      <w:t xml:space="preserve">Date of Cabinet </w:t>
    </w:r>
    <w:r w:rsidR="00A05646">
      <w:t>Meeting:</w:t>
    </w:r>
    <w:r w:rsidR="00A25E58">
      <w:t xml:space="preserve"> 15 December 2021</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946" w:rsidRDefault="00FA3946" w:rsidP="00A13BC5">
      <w:pPr>
        <w:spacing w:after="0"/>
      </w:pPr>
      <w:r>
        <w:separator/>
      </w:r>
    </w:p>
  </w:footnote>
  <w:footnote w:type="continuationSeparator" w:id="0">
    <w:p w:rsidR="00FA3946" w:rsidRDefault="00FA3946" w:rsidP="00A13BC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58" w:rsidRDefault="00A25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BC5" w:rsidRDefault="00A13BC5" w:rsidP="00A13BC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58" w:rsidRDefault="00A2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843BBF"/>
    <w:multiLevelType w:val="hybridMultilevel"/>
    <w:tmpl w:val="2F1C9934"/>
    <w:lvl w:ilvl="0" w:tplc="4F3AC8A0">
      <w:start w:val="1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C2FD6"/>
    <w:multiLevelType w:val="hybridMultilevel"/>
    <w:tmpl w:val="7BECA782"/>
    <w:lvl w:ilvl="0" w:tplc="0C56B04A">
      <w:start w:val="1"/>
      <w:numFmt w:val="bullet"/>
      <w:lvlText w:val="-"/>
      <w:lvlJc w:val="left"/>
      <w:pPr>
        <w:ind w:left="644" w:hanging="360"/>
      </w:pPr>
      <w:rPr>
        <w:rFonts w:ascii="Arial" w:eastAsia="Times New Roman"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0DFB7926"/>
    <w:multiLevelType w:val="hybridMultilevel"/>
    <w:tmpl w:val="E512799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23111D2"/>
    <w:multiLevelType w:val="hybridMultilevel"/>
    <w:tmpl w:val="8B42E262"/>
    <w:lvl w:ilvl="0" w:tplc="E466A8E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EC139A"/>
    <w:multiLevelType w:val="hybridMultilevel"/>
    <w:tmpl w:val="CA2EE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A36743"/>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05A5BCF"/>
    <w:multiLevelType w:val="hybridMultilevel"/>
    <w:tmpl w:val="26C0185C"/>
    <w:lvl w:ilvl="0" w:tplc="64F817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C772A8"/>
    <w:multiLevelType w:val="hybridMultilevel"/>
    <w:tmpl w:val="245ADBF6"/>
    <w:lvl w:ilvl="0" w:tplc="937EDD9C">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10AC9"/>
    <w:multiLevelType w:val="hybridMultilevel"/>
    <w:tmpl w:val="EC122168"/>
    <w:lvl w:ilvl="0" w:tplc="49641534">
      <w:start w:val="1"/>
      <w:numFmt w:val="decimal"/>
      <w:lvlText w:val="%1."/>
      <w:lvlJc w:val="left"/>
      <w:pPr>
        <w:ind w:left="360" w:hanging="360"/>
      </w:pPr>
      <w:rPr>
        <w:rFonts w:hint="default"/>
        <w:b w:val="0"/>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38542FE9"/>
    <w:multiLevelType w:val="hybridMultilevel"/>
    <w:tmpl w:val="EB3E5DDA"/>
    <w:lvl w:ilvl="0" w:tplc="BAE8C96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D200BC"/>
    <w:multiLevelType w:val="hybridMultilevel"/>
    <w:tmpl w:val="6D7ED57C"/>
    <w:lvl w:ilvl="0" w:tplc="72A0D33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D5F2C25"/>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47A60"/>
    <w:multiLevelType w:val="hybridMultilevel"/>
    <w:tmpl w:val="3CDAC81A"/>
    <w:lvl w:ilvl="0" w:tplc="8266140A">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4" w15:restartNumberingAfterBreak="0">
    <w:nsid w:val="45E81914"/>
    <w:multiLevelType w:val="hybridMultilevel"/>
    <w:tmpl w:val="35BE2298"/>
    <w:lvl w:ilvl="0" w:tplc="D19A9FBA">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4A4B5FFB"/>
    <w:multiLevelType w:val="hybridMultilevel"/>
    <w:tmpl w:val="CD6895A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F9D464A"/>
    <w:multiLevelType w:val="hybridMultilevel"/>
    <w:tmpl w:val="1188D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4A6148"/>
    <w:multiLevelType w:val="hybridMultilevel"/>
    <w:tmpl w:val="9C0C0EEE"/>
    <w:lvl w:ilvl="0" w:tplc="2C283F5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AD1700"/>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1602DAB"/>
    <w:multiLevelType w:val="hybridMultilevel"/>
    <w:tmpl w:val="6AE2C54C"/>
    <w:lvl w:ilvl="0" w:tplc="8266140A">
      <w:numFmt w:val="bullet"/>
      <w:lvlText w:val="-"/>
      <w:lvlJc w:val="left"/>
      <w:pPr>
        <w:ind w:left="1222"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5265E9"/>
    <w:multiLevelType w:val="hybridMultilevel"/>
    <w:tmpl w:val="71C8A14A"/>
    <w:lvl w:ilvl="0" w:tplc="1B3E79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4E12CBE"/>
    <w:multiLevelType w:val="hybridMultilevel"/>
    <w:tmpl w:val="878C8F9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75FE579E"/>
    <w:multiLevelType w:val="hybridMultilevel"/>
    <w:tmpl w:val="0A7CB2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98365C6"/>
    <w:multiLevelType w:val="multilevel"/>
    <w:tmpl w:val="E67CE66C"/>
    <w:numStyleLink w:val="StyleNumberedLeft0cmHanging075cm"/>
  </w:abstractNum>
  <w:num w:numId="1">
    <w:abstractNumId w:val="0"/>
  </w:num>
  <w:num w:numId="2">
    <w:abstractNumId w:val="23"/>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9"/>
  </w:num>
  <w:num w:numId="4">
    <w:abstractNumId w:val="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6"/>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13"/>
  </w:num>
  <w:num w:numId="12">
    <w:abstractNumId w:val="19"/>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4"/>
  </w:num>
  <w:num w:numId="16">
    <w:abstractNumId w:val="6"/>
  </w:num>
  <w:num w:numId="17">
    <w:abstractNumId w:val="17"/>
  </w:num>
  <w:num w:numId="18">
    <w:abstractNumId w:val="20"/>
  </w:num>
  <w:num w:numId="19">
    <w:abstractNumId w:val="12"/>
  </w:num>
  <w:num w:numId="20">
    <w:abstractNumId w:val="5"/>
  </w:num>
  <w:num w:numId="21">
    <w:abstractNumId w:val="21"/>
  </w:num>
  <w:num w:numId="22">
    <w:abstractNumId w:val="7"/>
  </w:num>
  <w:num w:numId="23">
    <w:abstractNumId w:va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BC5"/>
    <w:rsid w:val="00006366"/>
    <w:rsid w:val="00015DC3"/>
    <w:rsid w:val="000171F1"/>
    <w:rsid w:val="00046154"/>
    <w:rsid w:val="00050D1B"/>
    <w:rsid w:val="0007435F"/>
    <w:rsid w:val="000748E0"/>
    <w:rsid w:val="00081E37"/>
    <w:rsid w:val="000966A5"/>
    <w:rsid w:val="00097218"/>
    <w:rsid w:val="000A3F7D"/>
    <w:rsid w:val="000B4310"/>
    <w:rsid w:val="000C115C"/>
    <w:rsid w:val="000C5AB0"/>
    <w:rsid w:val="000D0883"/>
    <w:rsid w:val="0010381A"/>
    <w:rsid w:val="00111DFA"/>
    <w:rsid w:val="00116B9B"/>
    <w:rsid w:val="001238F1"/>
    <w:rsid w:val="00132F00"/>
    <w:rsid w:val="0013640C"/>
    <w:rsid w:val="001407C1"/>
    <w:rsid w:val="00162D9C"/>
    <w:rsid w:val="00164F33"/>
    <w:rsid w:val="001655A4"/>
    <w:rsid w:val="001700EE"/>
    <w:rsid w:val="0017067E"/>
    <w:rsid w:val="0017174F"/>
    <w:rsid w:val="00175A9A"/>
    <w:rsid w:val="00195738"/>
    <w:rsid w:val="00196A4A"/>
    <w:rsid w:val="00196F4B"/>
    <w:rsid w:val="001A1F91"/>
    <w:rsid w:val="001A5AFA"/>
    <w:rsid w:val="001A6992"/>
    <w:rsid w:val="001A6ED7"/>
    <w:rsid w:val="001B018A"/>
    <w:rsid w:val="001B38E8"/>
    <w:rsid w:val="001D2D5E"/>
    <w:rsid w:val="001E11AB"/>
    <w:rsid w:val="001E340D"/>
    <w:rsid w:val="001F21BF"/>
    <w:rsid w:val="001F4CBD"/>
    <w:rsid w:val="00203182"/>
    <w:rsid w:val="002064A4"/>
    <w:rsid w:val="00214C75"/>
    <w:rsid w:val="00217ED3"/>
    <w:rsid w:val="0023027D"/>
    <w:rsid w:val="002462EF"/>
    <w:rsid w:val="00265E9E"/>
    <w:rsid w:val="00265F20"/>
    <w:rsid w:val="00283903"/>
    <w:rsid w:val="00283BEA"/>
    <w:rsid w:val="002854EF"/>
    <w:rsid w:val="002A00A5"/>
    <w:rsid w:val="002A02A0"/>
    <w:rsid w:val="002A1119"/>
    <w:rsid w:val="002B55D1"/>
    <w:rsid w:val="002C5F5C"/>
    <w:rsid w:val="002C7241"/>
    <w:rsid w:val="002C78AE"/>
    <w:rsid w:val="002C7CC7"/>
    <w:rsid w:val="002E18F6"/>
    <w:rsid w:val="002E1DC4"/>
    <w:rsid w:val="002F00AA"/>
    <w:rsid w:val="00335AB9"/>
    <w:rsid w:val="00337650"/>
    <w:rsid w:val="00341D6D"/>
    <w:rsid w:val="003500DD"/>
    <w:rsid w:val="00360135"/>
    <w:rsid w:val="00364A8F"/>
    <w:rsid w:val="00366FB8"/>
    <w:rsid w:val="00374631"/>
    <w:rsid w:val="00383029"/>
    <w:rsid w:val="003857C0"/>
    <w:rsid w:val="00386743"/>
    <w:rsid w:val="00386883"/>
    <w:rsid w:val="003A6A12"/>
    <w:rsid w:val="003B3F69"/>
    <w:rsid w:val="003F01A1"/>
    <w:rsid w:val="003F5F17"/>
    <w:rsid w:val="004000D7"/>
    <w:rsid w:val="00403FD9"/>
    <w:rsid w:val="00425FE2"/>
    <w:rsid w:val="00434EB2"/>
    <w:rsid w:val="00461CA0"/>
    <w:rsid w:val="00472496"/>
    <w:rsid w:val="00472C5F"/>
    <w:rsid w:val="00475E49"/>
    <w:rsid w:val="004826C2"/>
    <w:rsid w:val="004A6C69"/>
    <w:rsid w:val="004A734A"/>
    <w:rsid w:val="004B654B"/>
    <w:rsid w:val="004C36AB"/>
    <w:rsid w:val="004E1048"/>
    <w:rsid w:val="004E370C"/>
    <w:rsid w:val="004E5B80"/>
    <w:rsid w:val="004F15CA"/>
    <w:rsid w:val="004F7D8A"/>
    <w:rsid w:val="005022A3"/>
    <w:rsid w:val="00504E43"/>
    <w:rsid w:val="0051398D"/>
    <w:rsid w:val="00537FB5"/>
    <w:rsid w:val="005468FE"/>
    <w:rsid w:val="0055437B"/>
    <w:rsid w:val="00557813"/>
    <w:rsid w:val="00564519"/>
    <w:rsid w:val="0057497B"/>
    <w:rsid w:val="00577853"/>
    <w:rsid w:val="00583DE1"/>
    <w:rsid w:val="00585DD8"/>
    <w:rsid w:val="005A3FF1"/>
    <w:rsid w:val="005A6A54"/>
    <w:rsid w:val="005B03C4"/>
    <w:rsid w:val="005C26AF"/>
    <w:rsid w:val="005C71F7"/>
    <w:rsid w:val="005D1099"/>
    <w:rsid w:val="005D5EF7"/>
    <w:rsid w:val="005E5A9A"/>
    <w:rsid w:val="005E60A4"/>
    <w:rsid w:val="005F2027"/>
    <w:rsid w:val="005F62E7"/>
    <w:rsid w:val="00600CEF"/>
    <w:rsid w:val="006525A6"/>
    <w:rsid w:val="00654A66"/>
    <w:rsid w:val="006572B4"/>
    <w:rsid w:val="00677009"/>
    <w:rsid w:val="0068124E"/>
    <w:rsid w:val="00683667"/>
    <w:rsid w:val="00685DB3"/>
    <w:rsid w:val="006911A0"/>
    <w:rsid w:val="006A5A6F"/>
    <w:rsid w:val="006A5C65"/>
    <w:rsid w:val="006A7068"/>
    <w:rsid w:val="006C24CB"/>
    <w:rsid w:val="006C4382"/>
    <w:rsid w:val="006D02B1"/>
    <w:rsid w:val="006D6878"/>
    <w:rsid w:val="006D7601"/>
    <w:rsid w:val="006E3B64"/>
    <w:rsid w:val="006F3AA9"/>
    <w:rsid w:val="00702661"/>
    <w:rsid w:val="00707A56"/>
    <w:rsid w:val="00711A76"/>
    <w:rsid w:val="00722453"/>
    <w:rsid w:val="00736E86"/>
    <w:rsid w:val="007422A6"/>
    <w:rsid w:val="00743D6F"/>
    <w:rsid w:val="00754210"/>
    <w:rsid w:val="00761C20"/>
    <w:rsid w:val="007772EF"/>
    <w:rsid w:val="007908F4"/>
    <w:rsid w:val="007A714B"/>
    <w:rsid w:val="007B7343"/>
    <w:rsid w:val="007D4EB4"/>
    <w:rsid w:val="007D5C46"/>
    <w:rsid w:val="007E0E3F"/>
    <w:rsid w:val="007E24A0"/>
    <w:rsid w:val="007E5BA6"/>
    <w:rsid w:val="007F062E"/>
    <w:rsid w:val="00840F81"/>
    <w:rsid w:val="00845DF4"/>
    <w:rsid w:val="00856551"/>
    <w:rsid w:val="00867DEB"/>
    <w:rsid w:val="0088675D"/>
    <w:rsid w:val="00894BC6"/>
    <w:rsid w:val="00897542"/>
    <w:rsid w:val="008978A8"/>
    <w:rsid w:val="008A22C6"/>
    <w:rsid w:val="008C05AE"/>
    <w:rsid w:val="008C1689"/>
    <w:rsid w:val="008E533D"/>
    <w:rsid w:val="008E5D2B"/>
    <w:rsid w:val="009000B6"/>
    <w:rsid w:val="00920A97"/>
    <w:rsid w:val="0092533A"/>
    <w:rsid w:val="00932695"/>
    <w:rsid w:val="0093630F"/>
    <w:rsid w:val="00936663"/>
    <w:rsid w:val="009633EE"/>
    <w:rsid w:val="00972BCF"/>
    <w:rsid w:val="009767FB"/>
    <w:rsid w:val="00990CCA"/>
    <w:rsid w:val="00995B20"/>
    <w:rsid w:val="009A3649"/>
    <w:rsid w:val="009A6C2C"/>
    <w:rsid w:val="009B57F4"/>
    <w:rsid w:val="009C20FA"/>
    <w:rsid w:val="009C2B69"/>
    <w:rsid w:val="009E5C82"/>
    <w:rsid w:val="009F3FC4"/>
    <w:rsid w:val="009F59AF"/>
    <w:rsid w:val="00A04DAB"/>
    <w:rsid w:val="00A05646"/>
    <w:rsid w:val="00A05E6A"/>
    <w:rsid w:val="00A106CC"/>
    <w:rsid w:val="00A13BC5"/>
    <w:rsid w:val="00A25E58"/>
    <w:rsid w:val="00A26EA2"/>
    <w:rsid w:val="00A3189E"/>
    <w:rsid w:val="00A32BC3"/>
    <w:rsid w:val="00A45B4B"/>
    <w:rsid w:val="00A520BA"/>
    <w:rsid w:val="00A65151"/>
    <w:rsid w:val="00A7656C"/>
    <w:rsid w:val="00A825B8"/>
    <w:rsid w:val="00A83C39"/>
    <w:rsid w:val="00AA50F9"/>
    <w:rsid w:val="00AB2FDF"/>
    <w:rsid w:val="00AC0712"/>
    <w:rsid w:val="00AF59E1"/>
    <w:rsid w:val="00B018EA"/>
    <w:rsid w:val="00B01F52"/>
    <w:rsid w:val="00B06848"/>
    <w:rsid w:val="00B06D07"/>
    <w:rsid w:val="00B070A9"/>
    <w:rsid w:val="00B10055"/>
    <w:rsid w:val="00B12594"/>
    <w:rsid w:val="00B1497D"/>
    <w:rsid w:val="00B169EC"/>
    <w:rsid w:val="00B373DD"/>
    <w:rsid w:val="00B43558"/>
    <w:rsid w:val="00B44C3F"/>
    <w:rsid w:val="00B51CD4"/>
    <w:rsid w:val="00B5566B"/>
    <w:rsid w:val="00B7600F"/>
    <w:rsid w:val="00B766FD"/>
    <w:rsid w:val="00B81645"/>
    <w:rsid w:val="00B857FF"/>
    <w:rsid w:val="00B87A40"/>
    <w:rsid w:val="00B9607E"/>
    <w:rsid w:val="00BB1EA8"/>
    <w:rsid w:val="00BB5368"/>
    <w:rsid w:val="00BB6D68"/>
    <w:rsid w:val="00BC31EC"/>
    <w:rsid w:val="00BD5087"/>
    <w:rsid w:val="00C00326"/>
    <w:rsid w:val="00C07F80"/>
    <w:rsid w:val="00C25B92"/>
    <w:rsid w:val="00C26FF8"/>
    <w:rsid w:val="00C31A7B"/>
    <w:rsid w:val="00C43D9C"/>
    <w:rsid w:val="00C4783B"/>
    <w:rsid w:val="00C50DEA"/>
    <w:rsid w:val="00C528DC"/>
    <w:rsid w:val="00C55CF5"/>
    <w:rsid w:val="00C62D5B"/>
    <w:rsid w:val="00C75E54"/>
    <w:rsid w:val="00C96651"/>
    <w:rsid w:val="00CA252B"/>
    <w:rsid w:val="00CC479A"/>
    <w:rsid w:val="00CC5450"/>
    <w:rsid w:val="00CC6FC4"/>
    <w:rsid w:val="00CC7FFD"/>
    <w:rsid w:val="00CE06AF"/>
    <w:rsid w:val="00CF1B31"/>
    <w:rsid w:val="00CF24F5"/>
    <w:rsid w:val="00D06D55"/>
    <w:rsid w:val="00D1043C"/>
    <w:rsid w:val="00D126DE"/>
    <w:rsid w:val="00D16AE3"/>
    <w:rsid w:val="00D31AB5"/>
    <w:rsid w:val="00D33952"/>
    <w:rsid w:val="00D40833"/>
    <w:rsid w:val="00D414EA"/>
    <w:rsid w:val="00D46033"/>
    <w:rsid w:val="00D46557"/>
    <w:rsid w:val="00D47380"/>
    <w:rsid w:val="00D54BB9"/>
    <w:rsid w:val="00D70501"/>
    <w:rsid w:val="00D71F81"/>
    <w:rsid w:val="00DA57B7"/>
    <w:rsid w:val="00DA70EA"/>
    <w:rsid w:val="00DB1E60"/>
    <w:rsid w:val="00DB1EA2"/>
    <w:rsid w:val="00DB2549"/>
    <w:rsid w:val="00DB5CA6"/>
    <w:rsid w:val="00DC1B03"/>
    <w:rsid w:val="00DE52B2"/>
    <w:rsid w:val="00DE776A"/>
    <w:rsid w:val="00DF27E3"/>
    <w:rsid w:val="00DF2845"/>
    <w:rsid w:val="00DF4FC3"/>
    <w:rsid w:val="00E13DEE"/>
    <w:rsid w:val="00E20692"/>
    <w:rsid w:val="00E21D31"/>
    <w:rsid w:val="00E24764"/>
    <w:rsid w:val="00E2578C"/>
    <w:rsid w:val="00E37FC1"/>
    <w:rsid w:val="00E675FF"/>
    <w:rsid w:val="00E75C2A"/>
    <w:rsid w:val="00E8286D"/>
    <w:rsid w:val="00E82CBD"/>
    <w:rsid w:val="00E83BAA"/>
    <w:rsid w:val="00EA0754"/>
    <w:rsid w:val="00EB12FA"/>
    <w:rsid w:val="00EB5646"/>
    <w:rsid w:val="00EC31FE"/>
    <w:rsid w:val="00EF2750"/>
    <w:rsid w:val="00EF5CAD"/>
    <w:rsid w:val="00F12514"/>
    <w:rsid w:val="00F218D9"/>
    <w:rsid w:val="00F22E41"/>
    <w:rsid w:val="00F23B47"/>
    <w:rsid w:val="00F26E07"/>
    <w:rsid w:val="00F27D5C"/>
    <w:rsid w:val="00F447A1"/>
    <w:rsid w:val="00F6079C"/>
    <w:rsid w:val="00F617FA"/>
    <w:rsid w:val="00F64DA9"/>
    <w:rsid w:val="00F67132"/>
    <w:rsid w:val="00F67D9A"/>
    <w:rsid w:val="00F76BEA"/>
    <w:rsid w:val="00F92A62"/>
    <w:rsid w:val="00FA3946"/>
    <w:rsid w:val="00FA5661"/>
    <w:rsid w:val="00FB087C"/>
    <w:rsid w:val="00FB7F7D"/>
    <w:rsid w:val="00FC524A"/>
    <w:rsid w:val="00FC55B1"/>
    <w:rsid w:val="00FC5EF5"/>
    <w:rsid w:val="00FD0F86"/>
    <w:rsid w:val="00FD3A85"/>
    <w:rsid w:val="00FD6BEA"/>
    <w:rsid w:val="00FF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5E70F-3FFB-4F13-A5C7-AE328C7B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BC5"/>
    <w:pPr>
      <w:spacing w:after="120"/>
    </w:pPr>
    <w:rPr>
      <w:rFonts w:eastAsia="Times New Roman" w:cs="Times New Roman"/>
      <w:color w:val="000000"/>
      <w:lang w:eastAsia="en-GB"/>
    </w:rPr>
  </w:style>
  <w:style w:type="paragraph" w:styleId="Heading1">
    <w:name w:val="heading 1"/>
    <w:aliases w:val="aHeading"/>
    <w:basedOn w:val="Normal"/>
    <w:next w:val="Normal"/>
    <w:link w:val="Heading1Char"/>
    <w:qFormat/>
    <w:rsid w:val="00A13BC5"/>
    <w:pPr>
      <w:spacing w:before="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Heading Char"/>
    <w:basedOn w:val="DefaultParagraphFont"/>
    <w:link w:val="Heading1"/>
    <w:rsid w:val="00A13BC5"/>
    <w:rPr>
      <w:rFonts w:eastAsia="Times New Roman" w:cs="Times New Roman"/>
      <w:b/>
      <w:color w:val="000000"/>
      <w:lang w:eastAsia="en-GB"/>
    </w:rPr>
  </w:style>
  <w:style w:type="paragraph" w:styleId="ListParagraph">
    <w:name w:val="List Paragraph"/>
    <w:basedOn w:val="Normal"/>
    <w:link w:val="ListParagraphChar"/>
    <w:uiPriority w:val="34"/>
    <w:qFormat/>
    <w:rsid w:val="00A13BC5"/>
    <w:pPr>
      <w:numPr>
        <w:numId w:val="2"/>
      </w:numPr>
      <w:tabs>
        <w:tab w:val="left" w:pos="426"/>
      </w:tabs>
    </w:pPr>
  </w:style>
  <w:style w:type="numbering" w:customStyle="1" w:styleId="StyleNumberedLeft0cmHanging075cm">
    <w:name w:val="Style Numbered Left:  0 cm Hanging:  0.75 cm"/>
    <w:basedOn w:val="NoList"/>
    <w:rsid w:val="00A13BC5"/>
    <w:pPr>
      <w:numPr>
        <w:numId w:val="1"/>
      </w:numPr>
    </w:pPr>
  </w:style>
  <w:style w:type="character" w:customStyle="1" w:styleId="Firstpagetablebold">
    <w:name w:val="First page table: bold"/>
    <w:qFormat/>
    <w:rsid w:val="00A13BC5"/>
    <w:rPr>
      <w:rFonts w:ascii="Arial" w:hAnsi="Arial"/>
      <w:b/>
      <w:sz w:val="24"/>
    </w:rPr>
  </w:style>
  <w:style w:type="character" w:customStyle="1" w:styleId="ListParagraphChar">
    <w:name w:val="List Paragraph Char"/>
    <w:link w:val="ListParagraph"/>
    <w:uiPriority w:val="34"/>
    <w:rsid w:val="00A13BC5"/>
    <w:rPr>
      <w:rFonts w:eastAsia="Times New Roman" w:cs="Times New Roman"/>
      <w:color w:val="000000"/>
      <w:lang w:eastAsia="en-GB"/>
    </w:rPr>
  </w:style>
  <w:style w:type="paragraph" w:styleId="Header">
    <w:name w:val="header"/>
    <w:basedOn w:val="Normal"/>
    <w:link w:val="HeaderChar"/>
    <w:uiPriority w:val="99"/>
    <w:unhideWhenUsed/>
    <w:rsid w:val="00A13BC5"/>
    <w:pPr>
      <w:tabs>
        <w:tab w:val="center" w:pos="4513"/>
        <w:tab w:val="right" w:pos="9026"/>
      </w:tabs>
      <w:spacing w:after="0"/>
    </w:pPr>
  </w:style>
  <w:style w:type="character" w:customStyle="1" w:styleId="HeaderChar">
    <w:name w:val="Header Char"/>
    <w:basedOn w:val="DefaultParagraphFont"/>
    <w:link w:val="Header"/>
    <w:uiPriority w:val="99"/>
    <w:rsid w:val="00A13BC5"/>
    <w:rPr>
      <w:rFonts w:eastAsia="Times New Roman" w:cs="Times New Roman"/>
      <w:color w:val="000000"/>
      <w:lang w:eastAsia="en-GB"/>
    </w:rPr>
  </w:style>
  <w:style w:type="paragraph" w:styleId="Footer">
    <w:name w:val="footer"/>
    <w:basedOn w:val="Normal"/>
    <w:link w:val="FooterChar"/>
    <w:uiPriority w:val="99"/>
    <w:unhideWhenUsed/>
    <w:rsid w:val="00A13BC5"/>
    <w:pPr>
      <w:tabs>
        <w:tab w:val="center" w:pos="4513"/>
        <w:tab w:val="right" w:pos="9026"/>
      </w:tabs>
      <w:spacing w:after="0"/>
    </w:pPr>
  </w:style>
  <w:style w:type="character" w:customStyle="1" w:styleId="FooterChar">
    <w:name w:val="Footer Char"/>
    <w:basedOn w:val="DefaultParagraphFont"/>
    <w:link w:val="Footer"/>
    <w:uiPriority w:val="99"/>
    <w:rsid w:val="00A13BC5"/>
    <w:rPr>
      <w:rFonts w:eastAsia="Times New Roman" w:cs="Times New Roman"/>
      <w:color w:val="000000"/>
      <w:lang w:eastAsia="en-GB"/>
    </w:rPr>
  </w:style>
  <w:style w:type="paragraph" w:styleId="BalloonText">
    <w:name w:val="Balloon Text"/>
    <w:basedOn w:val="Normal"/>
    <w:link w:val="BalloonTextChar"/>
    <w:uiPriority w:val="99"/>
    <w:semiHidden/>
    <w:unhideWhenUsed/>
    <w:rsid w:val="00A13B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3BC5"/>
    <w:rPr>
      <w:rFonts w:ascii="Tahoma" w:eastAsia="Times New Roman" w:hAnsi="Tahoma" w:cs="Tahoma"/>
      <w:color w:val="000000"/>
      <w:sz w:val="16"/>
      <w:szCs w:val="16"/>
      <w:lang w:eastAsia="en-GB"/>
    </w:rPr>
  </w:style>
  <w:style w:type="character" w:styleId="Hyperlink">
    <w:name w:val="Hyperlink"/>
    <w:aliases w:val="set Hyperlink"/>
    <w:qFormat/>
    <w:rsid w:val="0088675D"/>
    <w:rPr>
      <w:rFonts w:ascii="Arial" w:hAnsi="Arial"/>
      <w:color w:val="0000FF"/>
      <w:sz w:val="24"/>
      <w:u w:val="single"/>
    </w:rPr>
  </w:style>
  <w:style w:type="character" w:styleId="CommentReference">
    <w:name w:val="annotation reference"/>
    <w:basedOn w:val="DefaultParagraphFont"/>
    <w:uiPriority w:val="99"/>
    <w:semiHidden/>
    <w:unhideWhenUsed/>
    <w:rsid w:val="00D46033"/>
    <w:rPr>
      <w:sz w:val="16"/>
      <w:szCs w:val="16"/>
    </w:rPr>
  </w:style>
  <w:style w:type="paragraph" w:styleId="CommentText">
    <w:name w:val="annotation text"/>
    <w:basedOn w:val="Normal"/>
    <w:link w:val="CommentTextChar"/>
    <w:uiPriority w:val="99"/>
    <w:semiHidden/>
    <w:unhideWhenUsed/>
    <w:rsid w:val="00D46033"/>
    <w:rPr>
      <w:sz w:val="20"/>
      <w:szCs w:val="20"/>
    </w:rPr>
  </w:style>
  <w:style w:type="character" w:customStyle="1" w:styleId="CommentTextChar">
    <w:name w:val="Comment Text Char"/>
    <w:basedOn w:val="DefaultParagraphFont"/>
    <w:link w:val="CommentText"/>
    <w:uiPriority w:val="99"/>
    <w:semiHidden/>
    <w:rsid w:val="00D46033"/>
    <w:rPr>
      <w:rFonts w:eastAsia="Times New Roman"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D46033"/>
    <w:rPr>
      <w:b/>
      <w:bCs/>
    </w:rPr>
  </w:style>
  <w:style w:type="character" w:customStyle="1" w:styleId="CommentSubjectChar">
    <w:name w:val="Comment Subject Char"/>
    <w:basedOn w:val="CommentTextChar"/>
    <w:link w:val="CommentSubject"/>
    <w:uiPriority w:val="99"/>
    <w:semiHidden/>
    <w:rsid w:val="00D46033"/>
    <w:rPr>
      <w:rFonts w:eastAsia="Times New Roman" w:cs="Times New Roman"/>
      <w:b/>
      <w:bCs/>
      <w:color w:val="000000"/>
      <w:sz w:val="20"/>
      <w:szCs w:val="20"/>
      <w:lang w:eastAsia="en-GB"/>
    </w:rPr>
  </w:style>
  <w:style w:type="paragraph" w:styleId="Revision">
    <w:name w:val="Revision"/>
    <w:hidden/>
    <w:uiPriority w:val="99"/>
    <w:semiHidden/>
    <w:rsid w:val="006572B4"/>
    <w:rPr>
      <w:rFonts w:eastAsia="Times New Roman" w:cs="Times New Roman"/>
      <w:color w:val="000000"/>
      <w:lang w:eastAsia="en-GB"/>
    </w:rPr>
  </w:style>
  <w:style w:type="paragraph" w:styleId="FootnoteText">
    <w:name w:val="footnote text"/>
    <w:basedOn w:val="Normal"/>
    <w:link w:val="FootnoteTextChar"/>
    <w:uiPriority w:val="99"/>
    <w:semiHidden/>
    <w:unhideWhenUsed/>
    <w:rsid w:val="00C528DC"/>
    <w:pPr>
      <w:spacing w:after="0"/>
    </w:pPr>
    <w:rPr>
      <w:sz w:val="20"/>
      <w:szCs w:val="20"/>
    </w:rPr>
  </w:style>
  <w:style w:type="character" w:customStyle="1" w:styleId="FootnoteTextChar">
    <w:name w:val="Footnote Text Char"/>
    <w:basedOn w:val="DefaultParagraphFont"/>
    <w:link w:val="FootnoteText"/>
    <w:uiPriority w:val="99"/>
    <w:semiHidden/>
    <w:rsid w:val="00C528DC"/>
    <w:rPr>
      <w:rFonts w:eastAsia="Times New Roman" w:cs="Times New Roman"/>
      <w:color w:val="000000"/>
      <w:sz w:val="20"/>
      <w:szCs w:val="20"/>
      <w:lang w:eastAsia="en-GB"/>
    </w:rPr>
  </w:style>
  <w:style w:type="character" w:styleId="FootnoteReference">
    <w:name w:val="footnote reference"/>
    <w:basedOn w:val="DefaultParagraphFont"/>
    <w:uiPriority w:val="99"/>
    <w:semiHidden/>
    <w:unhideWhenUsed/>
    <w:rsid w:val="00C528DC"/>
    <w:rPr>
      <w:vertAlign w:val="superscript"/>
    </w:rPr>
  </w:style>
  <w:style w:type="paragraph" w:styleId="NoSpacing">
    <w:name w:val="No Spacing"/>
    <w:uiPriority w:val="1"/>
    <w:qFormat/>
    <w:rsid w:val="00475E49"/>
    <w:rPr>
      <w:rFonts w:eastAsia="Times New Roman" w:cs="Times New Roman"/>
      <w:szCs w:val="20"/>
      <w:lang w:eastAsia="en-GB"/>
    </w:rPr>
  </w:style>
  <w:style w:type="character" w:styleId="Emphasis">
    <w:name w:val="Emphasis"/>
    <w:basedOn w:val="DefaultParagraphFont"/>
    <w:uiPriority w:val="20"/>
    <w:qFormat/>
    <w:rsid w:val="00475E49"/>
    <w:rPr>
      <w:i/>
      <w:iCs/>
    </w:rPr>
  </w:style>
  <w:style w:type="paragraph" w:styleId="EndnoteText">
    <w:name w:val="endnote text"/>
    <w:basedOn w:val="Normal"/>
    <w:link w:val="EndnoteTextChar"/>
    <w:uiPriority w:val="99"/>
    <w:semiHidden/>
    <w:unhideWhenUsed/>
    <w:rsid w:val="00B169EC"/>
    <w:pPr>
      <w:spacing w:after="0"/>
    </w:pPr>
    <w:rPr>
      <w:sz w:val="20"/>
      <w:szCs w:val="20"/>
    </w:rPr>
  </w:style>
  <w:style w:type="character" w:customStyle="1" w:styleId="EndnoteTextChar">
    <w:name w:val="Endnote Text Char"/>
    <w:basedOn w:val="DefaultParagraphFont"/>
    <w:link w:val="EndnoteText"/>
    <w:uiPriority w:val="99"/>
    <w:semiHidden/>
    <w:rsid w:val="00B169EC"/>
    <w:rPr>
      <w:rFonts w:eastAsia="Times New Roman" w:cs="Times New Roman"/>
      <w:color w:val="000000"/>
      <w:sz w:val="20"/>
      <w:szCs w:val="20"/>
      <w:lang w:eastAsia="en-GB"/>
    </w:rPr>
  </w:style>
  <w:style w:type="character" w:styleId="EndnoteReference">
    <w:name w:val="endnote reference"/>
    <w:basedOn w:val="DefaultParagraphFont"/>
    <w:uiPriority w:val="99"/>
    <w:semiHidden/>
    <w:unhideWhenUsed/>
    <w:rsid w:val="00B169EC"/>
    <w:rPr>
      <w:vertAlign w:val="superscript"/>
    </w:rPr>
  </w:style>
  <w:style w:type="paragraph" w:customStyle="1" w:styleId="xmsonormal">
    <w:name w:val="x_msonormal"/>
    <w:basedOn w:val="Normal"/>
    <w:uiPriority w:val="99"/>
    <w:rsid w:val="005022A3"/>
    <w:pPr>
      <w:spacing w:after="0"/>
    </w:pPr>
    <w:rPr>
      <w:rFonts w:ascii="Calibri" w:eastAsiaTheme="minorHAnsi" w:hAnsi="Calibri" w:cs="Calibr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6422">
      <w:bodyDiv w:val="1"/>
      <w:marLeft w:val="0"/>
      <w:marRight w:val="0"/>
      <w:marTop w:val="0"/>
      <w:marBottom w:val="0"/>
      <w:divBdr>
        <w:top w:val="none" w:sz="0" w:space="0" w:color="auto"/>
        <w:left w:val="none" w:sz="0" w:space="0" w:color="auto"/>
        <w:bottom w:val="none" w:sz="0" w:space="0" w:color="auto"/>
        <w:right w:val="none" w:sz="0" w:space="0" w:color="auto"/>
      </w:divBdr>
    </w:div>
    <w:div w:id="17194666">
      <w:bodyDiv w:val="1"/>
      <w:marLeft w:val="0"/>
      <w:marRight w:val="0"/>
      <w:marTop w:val="0"/>
      <w:marBottom w:val="0"/>
      <w:divBdr>
        <w:top w:val="none" w:sz="0" w:space="0" w:color="auto"/>
        <w:left w:val="none" w:sz="0" w:space="0" w:color="auto"/>
        <w:bottom w:val="none" w:sz="0" w:space="0" w:color="auto"/>
        <w:right w:val="none" w:sz="0" w:space="0" w:color="auto"/>
      </w:divBdr>
    </w:div>
    <w:div w:id="29889373">
      <w:bodyDiv w:val="1"/>
      <w:marLeft w:val="0"/>
      <w:marRight w:val="0"/>
      <w:marTop w:val="0"/>
      <w:marBottom w:val="0"/>
      <w:divBdr>
        <w:top w:val="none" w:sz="0" w:space="0" w:color="auto"/>
        <w:left w:val="none" w:sz="0" w:space="0" w:color="auto"/>
        <w:bottom w:val="none" w:sz="0" w:space="0" w:color="auto"/>
        <w:right w:val="none" w:sz="0" w:space="0" w:color="auto"/>
      </w:divBdr>
    </w:div>
    <w:div w:id="1225068657">
      <w:bodyDiv w:val="1"/>
      <w:marLeft w:val="0"/>
      <w:marRight w:val="0"/>
      <w:marTop w:val="0"/>
      <w:marBottom w:val="0"/>
      <w:divBdr>
        <w:top w:val="none" w:sz="0" w:space="0" w:color="auto"/>
        <w:left w:val="none" w:sz="0" w:space="0" w:color="auto"/>
        <w:bottom w:val="none" w:sz="0" w:space="0" w:color="auto"/>
        <w:right w:val="none" w:sz="0" w:space="0" w:color="auto"/>
      </w:divBdr>
    </w:div>
    <w:div w:id="1425220614">
      <w:bodyDiv w:val="1"/>
      <w:marLeft w:val="0"/>
      <w:marRight w:val="0"/>
      <w:marTop w:val="0"/>
      <w:marBottom w:val="0"/>
      <w:divBdr>
        <w:top w:val="none" w:sz="0" w:space="0" w:color="auto"/>
        <w:left w:val="none" w:sz="0" w:space="0" w:color="auto"/>
        <w:bottom w:val="none" w:sz="0" w:space="0" w:color="auto"/>
        <w:right w:val="none" w:sz="0" w:space="0" w:color="auto"/>
      </w:divBdr>
    </w:div>
    <w:div w:id="1698389118">
      <w:bodyDiv w:val="1"/>
      <w:marLeft w:val="0"/>
      <w:marRight w:val="0"/>
      <w:marTop w:val="0"/>
      <w:marBottom w:val="0"/>
      <w:divBdr>
        <w:top w:val="none" w:sz="0" w:space="0" w:color="auto"/>
        <w:left w:val="none" w:sz="0" w:space="0" w:color="auto"/>
        <w:bottom w:val="none" w:sz="0" w:space="0" w:color="auto"/>
        <w:right w:val="none" w:sz="0" w:space="0" w:color="auto"/>
      </w:divBdr>
    </w:div>
    <w:div w:id="1818644972">
      <w:bodyDiv w:val="1"/>
      <w:marLeft w:val="0"/>
      <w:marRight w:val="0"/>
      <w:marTop w:val="0"/>
      <w:marBottom w:val="0"/>
      <w:divBdr>
        <w:top w:val="none" w:sz="0" w:space="0" w:color="auto"/>
        <w:left w:val="none" w:sz="0" w:space="0" w:color="auto"/>
        <w:bottom w:val="none" w:sz="0" w:space="0" w:color="auto"/>
        <w:right w:val="none" w:sz="0" w:space="0" w:color="auto"/>
      </w:divBdr>
    </w:div>
    <w:div w:id="206139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B473B-9101-46D9-8B72-2C2423281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90921B9D</Template>
  <TotalTime>9</TotalTime>
  <Pages>4</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srobinson</dc:creator>
  <cp:keywords/>
  <dc:description/>
  <cp:lastModifiedBy>HUDSON Tom</cp:lastModifiedBy>
  <cp:revision>4</cp:revision>
  <dcterms:created xsi:type="dcterms:W3CDTF">2021-12-09T16:55:00Z</dcterms:created>
  <dcterms:modified xsi:type="dcterms:W3CDTF">2021-12-14T17:54:00Z</dcterms:modified>
</cp:coreProperties>
</file>